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7C" w:rsidRPr="000A3797" w:rsidRDefault="00FD1E7C" w:rsidP="0081352A">
      <w:pPr>
        <w:spacing w:line="480" w:lineRule="auto"/>
        <w:rPr>
          <w:b/>
          <w:sz w:val="36"/>
          <w:szCs w:val="36"/>
          <w:lang w:val="en-US"/>
        </w:rPr>
      </w:pPr>
      <w:bookmarkStart w:id="0" w:name="_GoBack"/>
      <w:bookmarkEnd w:id="0"/>
      <w:r>
        <w:rPr>
          <w:b/>
          <w:sz w:val="36"/>
          <w:szCs w:val="36"/>
          <w:lang w:val="en-US"/>
        </w:rPr>
        <w:t xml:space="preserve">Non-steroidal anti-inflammatory drugs are safe </w:t>
      </w:r>
      <w:r w:rsidRPr="00490901">
        <w:rPr>
          <w:b/>
          <w:sz w:val="36"/>
          <w:szCs w:val="36"/>
          <w:lang w:val="en-US"/>
        </w:rPr>
        <w:t>with respect to the transcriptome</w:t>
      </w:r>
      <w:r>
        <w:rPr>
          <w:b/>
          <w:sz w:val="36"/>
          <w:szCs w:val="36"/>
          <w:lang w:val="en-US"/>
        </w:rPr>
        <w:t xml:space="preserve"> of human dermal fibroblasts</w:t>
      </w:r>
    </w:p>
    <w:p w:rsidR="00FD1E7C" w:rsidRPr="000A3797" w:rsidRDefault="00FD1E7C" w:rsidP="0074582E">
      <w:pPr>
        <w:spacing w:line="480" w:lineRule="auto"/>
        <w:rPr>
          <w:lang w:val="en-US"/>
        </w:rPr>
      </w:pPr>
    </w:p>
    <w:p w:rsidR="00FD1E7C" w:rsidRPr="00FA5ECE" w:rsidRDefault="00FD1E7C" w:rsidP="0074582E">
      <w:pPr>
        <w:spacing w:line="480" w:lineRule="auto"/>
        <w:rPr>
          <w:lang w:val="en-US"/>
        </w:rPr>
      </w:pPr>
      <w:r w:rsidRPr="00FA5ECE">
        <w:rPr>
          <w:lang w:val="en-US"/>
        </w:rPr>
        <w:t>Paweł Mozolewski</w:t>
      </w:r>
      <w:r w:rsidRPr="00FA5ECE">
        <w:rPr>
          <w:vertAlign w:val="superscript"/>
          <w:lang w:val="en-US"/>
        </w:rPr>
        <w:t>a</w:t>
      </w:r>
      <w:r w:rsidRPr="00FA5ECE">
        <w:rPr>
          <w:lang w:val="en-US"/>
        </w:rPr>
        <w:t>,</w:t>
      </w:r>
      <w:r w:rsidRPr="00FA5ECE">
        <w:rPr>
          <w:vertAlign w:val="superscript"/>
          <w:lang w:val="en-US"/>
        </w:rPr>
        <w:t xml:space="preserve"> </w:t>
      </w:r>
      <w:r w:rsidRPr="00FA5ECE">
        <w:rPr>
          <w:lang w:val="en-US"/>
        </w:rPr>
        <w:t>Joanna Jakóbkiewicz-Banecka</w:t>
      </w:r>
      <w:r w:rsidRPr="00FA5ECE">
        <w:rPr>
          <w:vertAlign w:val="superscript"/>
          <w:lang w:val="en-US"/>
        </w:rPr>
        <w:t>a</w:t>
      </w:r>
      <w:r w:rsidRPr="00FA5ECE">
        <w:rPr>
          <w:lang w:val="en-US"/>
        </w:rPr>
        <w:t>, Grzegorz Węgrzyn</w:t>
      </w:r>
      <w:r w:rsidRPr="00FA5ECE">
        <w:rPr>
          <w:vertAlign w:val="superscript"/>
          <w:lang w:val="en-US"/>
        </w:rPr>
        <w:t>b</w:t>
      </w:r>
      <w:r w:rsidRPr="00FA5ECE">
        <w:rPr>
          <w:lang w:val="en-US"/>
        </w:rPr>
        <w:t>, Bogdan Banecki</w:t>
      </w:r>
      <w:r w:rsidRPr="00FA5ECE">
        <w:rPr>
          <w:vertAlign w:val="superscript"/>
          <w:lang w:val="en-US"/>
        </w:rPr>
        <w:t>c</w:t>
      </w:r>
      <w:r w:rsidRPr="00FA5ECE">
        <w:rPr>
          <w:lang w:val="en-US"/>
        </w:rPr>
        <w:t>, Magdalena Gabig-Cimińska</w:t>
      </w:r>
      <w:r w:rsidR="00204D89" w:rsidRPr="00204D89">
        <w:rPr>
          <w:vertAlign w:val="superscript"/>
          <w:lang w:val="en-US"/>
        </w:rPr>
        <w:t>a,</w:t>
      </w:r>
      <w:r w:rsidRPr="00FA5ECE">
        <w:rPr>
          <w:vertAlign w:val="superscript"/>
          <w:lang w:val="en-US"/>
        </w:rPr>
        <w:t>d,*</w:t>
      </w:r>
    </w:p>
    <w:p w:rsidR="00FD1E7C" w:rsidRPr="00FA5ECE" w:rsidRDefault="00FD1E7C" w:rsidP="0074582E">
      <w:pPr>
        <w:spacing w:line="480" w:lineRule="auto"/>
        <w:rPr>
          <w:lang w:val="en-US"/>
        </w:rPr>
      </w:pPr>
    </w:p>
    <w:p w:rsidR="00FD1E7C" w:rsidRPr="00475981" w:rsidRDefault="00FD1E7C" w:rsidP="0074582E">
      <w:pPr>
        <w:spacing w:line="480" w:lineRule="auto"/>
        <w:rPr>
          <w:lang w:val="en-US"/>
        </w:rPr>
      </w:pPr>
      <w:r w:rsidRPr="004F5A7B">
        <w:rPr>
          <w:vertAlign w:val="superscript"/>
          <w:lang w:val="en-US"/>
        </w:rPr>
        <w:t>a</w:t>
      </w:r>
      <w:r w:rsidRPr="004F5A7B">
        <w:rPr>
          <w:i/>
          <w:lang w:val="en-US"/>
        </w:rPr>
        <w:t>Department of Medical Biology and Genetics, University</w:t>
      </w:r>
      <w:r w:rsidRPr="009573CB">
        <w:rPr>
          <w:i/>
          <w:lang w:val="en-US"/>
        </w:rPr>
        <w:t xml:space="preserve"> of Gdańsk, Wita Stwosza 59, 80-308 Gdańsk, Poland</w:t>
      </w:r>
    </w:p>
    <w:p w:rsidR="00FD1E7C" w:rsidRDefault="00FD1E7C" w:rsidP="0074582E">
      <w:pPr>
        <w:spacing w:line="480" w:lineRule="auto"/>
        <w:rPr>
          <w:vertAlign w:val="superscript"/>
          <w:lang w:val="en-US"/>
        </w:rPr>
      </w:pPr>
      <w:r>
        <w:rPr>
          <w:vertAlign w:val="superscript"/>
          <w:lang w:val="en-US"/>
        </w:rPr>
        <w:t>b</w:t>
      </w:r>
      <w:r w:rsidRPr="009573CB">
        <w:rPr>
          <w:i/>
          <w:lang w:val="en-US"/>
        </w:rPr>
        <w:t>Department of Molecular Biology, University of Gdańsk, Wita Stwosza 59, 80-308 Gdańsk, Poland</w:t>
      </w:r>
      <w:r w:rsidRPr="009573CB">
        <w:rPr>
          <w:vertAlign w:val="superscript"/>
          <w:lang w:val="en-US"/>
        </w:rPr>
        <w:t xml:space="preserve"> </w:t>
      </w:r>
    </w:p>
    <w:p w:rsidR="00855350" w:rsidRDefault="00855350" w:rsidP="00262E15">
      <w:pPr>
        <w:spacing w:line="480" w:lineRule="auto"/>
        <w:rPr>
          <w:vertAlign w:val="superscript"/>
          <w:lang w:val="en-US"/>
        </w:rPr>
      </w:pPr>
      <w:r w:rsidRPr="00855350">
        <w:rPr>
          <w:vertAlign w:val="superscript"/>
          <w:lang w:val="en-US"/>
        </w:rPr>
        <w:t>c</w:t>
      </w:r>
      <w:r w:rsidRPr="0031054B">
        <w:rPr>
          <w:i/>
          <w:lang w:val="en-US"/>
        </w:rPr>
        <w:t>Department of Molecular and Cellular Biology, Intercollegiate Faculty of Biotechnology UG-MUG, Abrahama 58, 80-307 Gdańsk, Poland</w:t>
      </w:r>
      <w:r>
        <w:rPr>
          <w:vertAlign w:val="superscript"/>
          <w:lang w:val="en-US"/>
        </w:rPr>
        <w:t xml:space="preserve"> </w:t>
      </w:r>
    </w:p>
    <w:p w:rsidR="00FD1E7C" w:rsidRPr="00855350" w:rsidRDefault="00FD1E7C" w:rsidP="00A35778">
      <w:pPr>
        <w:spacing w:line="480" w:lineRule="auto"/>
        <w:rPr>
          <w:i/>
          <w:lang w:val="en-US"/>
        </w:rPr>
      </w:pPr>
      <w:r w:rsidRPr="00855350">
        <w:rPr>
          <w:vertAlign w:val="superscript"/>
          <w:lang w:val="en-US"/>
        </w:rPr>
        <w:t>d</w:t>
      </w:r>
      <w:r w:rsidR="00855350" w:rsidRPr="00855350">
        <w:rPr>
          <w:i/>
          <w:lang w:val="en-US"/>
        </w:rPr>
        <w:t>Institute of Biochemistry and Biophysics, Polish Academy of Sciences, Laboratory of Molecular Biology (affiliated with the University of Gdańsk), Kładki 24, 80-822 Gdańsk,</w:t>
      </w:r>
      <w:r w:rsidR="002C2732">
        <w:rPr>
          <w:i/>
          <w:lang w:val="en-US"/>
        </w:rPr>
        <w:t xml:space="preserve"> </w:t>
      </w:r>
      <w:r w:rsidR="00855350" w:rsidRPr="00855350">
        <w:rPr>
          <w:i/>
          <w:lang w:val="en-US"/>
        </w:rPr>
        <w:t>Poland</w:t>
      </w:r>
    </w:p>
    <w:p w:rsidR="00FD1E7C" w:rsidRPr="0031054B" w:rsidRDefault="00FD1E7C" w:rsidP="0074582E">
      <w:pPr>
        <w:spacing w:line="480" w:lineRule="auto"/>
        <w:rPr>
          <w:i/>
          <w:vertAlign w:val="superscript"/>
          <w:lang w:val="en-US"/>
        </w:rPr>
      </w:pPr>
    </w:p>
    <w:p w:rsidR="00FD1E7C" w:rsidRPr="00323267" w:rsidRDefault="00FD1E7C" w:rsidP="0074582E">
      <w:pPr>
        <w:spacing w:line="480" w:lineRule="auto"/>
        <w:rPr>
          <w:lang w:val="en-US"/>
        </w:rPr>
      </w:pPr>
      <w:r>
        <w:rPr>
          <w:vertAlign w:val="superscript"/>
          <w:lang w:val="en-US"/>
        </w:rPr>
        <w:t>*</w:t>
      </w:r>
      <w:r w:rsidRPr="00E650B1">
        <w:rPr>
          <w:lang w:val="en-US"/>
        </w:rPr>
        <w:t>Corresponding author:</w:t>
      </w:r>
    </w:p>
    <w:p w:rsidR="00AE74CE" w:rsidRPr="00204D89" w:rsidRDefault="00AE74CE" w:rsidP="00AE74CE">
      <w:pPr>
        <w:spacing w:line="480" w:lineRule="auto"/>
        <w:rPr>
          <w:lang w:val="en-US"/>
        </w:rPr>
      </w:pPr>
      <w:r w:rsidRPr="00204D89">
        <w:rPr>
          <w:lang w:val="en-US"/>
        </w:rPr>
        <w:t>Department of Medical Biology and Genetics, University of Gdańsk, Wita Stwosza 59, 80-308 Gdańsk, Poland</w:t>
      </w:r>
    </w:p>
    <w:p w:rsidR="00FD1E7C" w:rsidRDefault="00FD1E7C" w:rsidP="00846A79">
      <w:pPr>
        <w:spacing w:line="480" w:lineRule="auto"/>
        <w:rPr>
          <w:color w:val="0000FF"/>
          <w:u w:val="single"/>
          <w:lang w:val="en-US"/>
        </w:rPr>
      </w:pPr>
      <w:r w:rsidRPr="004C09F6">
        <w:rPr>
          <w:lang w:val="en-US"/>
        </w:rPr>
        <w:t xml:space="preserve">Institute of Biochemistry and Biophysics, Polish Academy of Sciences, Laboratory of Molecular Biology (affiliated with the University of Gdańsk), </w:t>
      </w:r>
      <w:r w:rsidR="002C2732">
        <w:rPr>
          <w:lang w:val="en-US"/>
        </w:rPr>
        <w:t>Kładki 24, 80-822 Gdańsk</w:t>
      </w:r>
      <w:r w:rsidR="00A42B9E">
        <w:rPr>
          <w:lang w:val="en-US"/>
        </w:rPr>
        <w:t>, Poland, t</w:t>
      </w:r>
      <w:r w:rsidRPr="004C09F6">
        <w:rPr>
          <w:lang w:val="en-US"/>
        </w:rPr>
        <w:t>el. +48 58 5</w:t>
      </w:r>
      <w:r w:rsidR="00A42B9E">
        <w:rPr>
          <w:lang w:val="en-US"/>
        </w:rPr>
        <w:t>23 6046, fax: +48 58 523 6025; e</w:t>
      </w:r>
      <w:r w:rsidRPr="004C09F6">
        <w:rPr>
          <w:lang w:val="en-US"/>
        </w:rPr>
        <w:t xml:space="preserve">-mail: </w:t>
      </w:r>
      <w:hyperlink r:id="rId8" w:history="1">
        <w:r w:rsidRPr="004C09F6">
          <w:rPr>
            <w:color w:val="0000FF"/>
            <w:u w:val="single"/>
            <w:lang w:val="en-US"/>
          </w:rPr>
          <w:t>m.gabig@biol.ug.edu.pl</w:t>
        </w:r>
      </w:hyperlink>
    </w:p>
    <w:p w:rsidR="00204D89" w:rsidRPr="004C09F6" w:rsidRDefault="00204D89" w:rsidP="00846A79">
      <w:pPr>
        <w:spacing w:line="480" w:lineRule="auto"/>
        <w:rPr>
          <w:lang w:val="en-US"/>
        </w:rPr>
      </w:pPr>
    </w:p>
    <w:p w:rsidR="00FD1E7C" w:rsidRPr="00E34717" w:rsidRDefault="00FD1E7C" w:rsidP="0074582E">
      <w:pPr>
        <w:spacing w:line="480" w:lineRule="auto"/>
        <w:rPr>
          <w:b/>
          <w:color w:val="FF0000"/>
          <w:lang w:val="en-US"/>
        </w:rPr>
      </w:pPr>
      <w:r>
        <w:rPr>
          <w:b/>
          <w:lang w:val="en-US"/>
        </w:rPr>
        <w:br w:type="page"/>
      </w:r>
      <w:r>
        <w:rPr>
          <w:b/>
          <w:lang w:val="en-US"/>
        </w:rPr>
        <w:lastRenderedPageBreak/>
        <w:t>ABSTRACT</w:t>
      </w:r>
    </w:p>
    <w:p w:rsidR="007274E2" w:rsidRDefault="00FD1E7C" w:rsidP="0074582E">
      <w:pPr>
        <w:spacing w:line="480" w:lineRule="auto"/>
        <w:rPr>
          <w:lang w:val="en-US"/>
        </w:rPr>
      </w:pPr>
      <w:r>
        <w:rPr>
          <w:lang w:val="en-US"/>
        </w:rPr>
        <w:t>N</w:t>
      </w:r>
      <w:r w:rsidRPr="003C7C4E">
        <w:rPr>
          <w:lang w:val="en-US"/>
        </w:rPr>
        <w:t>on-steroidal anti-inflammatory drugs (NSAIDs</w:t>
      </w:r>
      <w:r>
        <w:rPr>
          <w:lang w:val="en-US"/>
        </w:rPr>
        <w:t>) provide important benefits to millions of patients, but are associated with a number of serious adverse events. These a</w:t>
      </w:r>
      <w:r w:rsidRPr="009F77FF">
        <w:rPr>
          <w:lang w:val="en-US"/>
        </w:rPr>
        <w:t xml:space="preserve">dverse drug reactions are an important clinical issue and a serious public health risk. </w:t>
      </w:r>
      <w:r w:rsidRPr="006C6452">
        <w:rPr>
          <w:lang w:val="en-US"/>
        </w:rPr>
        <w:t xml:space="preserve">While most </w:t>
      </w:r>
      <w:r>
        <w:rPr>
          <w:lang w:val="en-US"/>
        </w:rPr>
        <w:t>unfortunate responses</w:t>
      </w:r>
      <w:r w:rsidRPr="006C6452">
        <w:rPr>
          <w:lang w:val="en-US"/>
        </w:rPr>
        <w:t xml:space="preserve"> in human </w:t>
      </w:r>
      <w:r>
        <w:rPr>
          <w:lang w:val="en-US"/>
        </w:rPr>
        <w:t>to NSAIDs</w:t>
      </w:r>
      <w:r w:rsidRPr="006C6452">
        <w:rPr>
          <w:lang w:val="en-US"/>
        </w:rPr>
        <w:t xml:space="preserve"> are mild and may disappear after decreasing the dose or withdrawal of the drug, some </w:t>
      </w:r>
      <w:r>
        <w:rPr>
          <w:lang w:val="en-US"/>
        </w:rPr>
        <w:t>of them</w:t>
      </w:r>
      <w:r w:rsidRPr="006C6452">
        <w:rPr>
          <w:lang w:val="en-US"/>
        </w:rPr>
        <w:t xml:space="preserve"> can produce serious outcomes.</w:t>
      </w:r>
      <w:r>
        <w:rPr>
          <w:lang w:val="en-US"/>
        </w:rPr>
        <w:t xml:space="preserve"> </w:t>
      </w:r>
      <w:r w:rsidRPr="00BC5D96">
        <w:rPr>
          <w:lang w:val="en-US"/>
        </w:rPr>
        <w:t xml:space="preserve">Currently, little is known regarding the effects of NSAIDs on global RNA expression in </w:t>
      </w:r>
      <w:r w:rsidRPr="00B71A80">
        <w:rPr>
          <w:lang w:val="en-US"/>
        </w:rPr>
        <w:t>normal</w:t>
      </w:r>
      <w:r>
        <w:rPr>
          <w:lang w:val="en-US"/>
        </w:rPr>
        <w:t xml:space="preserve">, </w:t>
      </w:r>
      <w:r w:rsidRPr="00101820">
        <w:rPr>
          <w:lang w:val="en-US"/>
        </w:rPr>
        <w:t>non-transformed</w:t>
      </w:r>
      <w:r w:rsidRPr="00BC5D96">
        <w:rPr>
          <w:lang w:val="en-US"/>
        </w:rPr>
        <w:t xml:space="preserve"> cells. </w:t>
      </w:r>
      <w:r>
        <w:rPr>
          <w:lang w:val="en-US"/>
        </w:rPr>
        <w:t>Therefore, i</w:t>
      </w:r>
      <w:r w:rsidRPr="003C7C4E">
        <w:rPr>
          <w:lang w:val="en-US"/>
        </w:rPr>
        <w:t xml:space="preserve">n this report, </w:t>
      </w:r>
      <w:r w:rsidRPr="00BC5D96">
        <w:rPr>
          <w:lang w:val="en-US"/>
        </w:rPr>
        <w:t xml:space="preserve">the effect of </w:t>
      </w:r>
      <w:r w:rsidRPr="003C7C4E">
        <w:rPr>
          <w:lang w:val="en-US"/>
        </w:rPr>
        <w:t>NSAIDs</w:t>
      </w:r>
      <w:r>
        <w:rPr>
          <w:lang w:val="en-US"/>
        </w:rPr>
        <w:t xml:space="preserve">, </w:t>
      </w:r>
      <w:r w:rsidRPr="00BC5D96">
        <w:rPr>
          <w:lang w:val="en-US"/>
        </w:rPr>
        <w:t>COX-nonspecific and COX-2-specific inhibitors,</w:t>
      </w:r>
      <w:r>
        <w:rPr>
          <w:lang w:val="en-US"/>
        </w:rPr>
        <w:t xml:space="preserve"> indomethacin and nimesulide respectively, </w:t>
      </w:r>
      <w:r w:rsidRPr="003C7C4E">
        <w:rPr>
          <w:lang w:val="en-US"/>
        </w:rPr>
        <w:t xml:space="preserve">commonly used </w:t>
      </w:r>
      <w:r w:rsidRPr="00B71A80">
        <w:rPr>
          <w:lang w:val="en-US"/>
        </w:rPr>
        <w:t>medications worldwide</w:t>
      </w:r>
      <w:r w:rsidRPr="003C7C4E">
        <w:rPr>
          <w:lang w:val="en-US"/>
        </w:rPr>
        <w:t xml:space="preserve"> for the reduction of pain, fever, inflammation and stiffness</w:t>
      </w:r>
      <w:r>
        <w:rPr>
          <w:lang w:val="en-US"/>
        </w:rPr>
        <w:t xml:space="preserve">, </w:t>
      </w:r>
      <w:r w:rsidRPr="00BC5D96">
        <w:rPr>
          <w:lang w:val="en-US"/>
        </w:rPr>
        <w:t xml:space="preserve">on </w:t>
      </w:r>
      <w:r>
        <w:rPr>
          <w:lang w:val="en-US"/>
        </w:rPr>
        <w:t>transcriptomic signature</w:t>
      </w:r>
      <w:r w:rsidRPr="00BC5D96">
        <w:rPr>
          <w:lang w:val="en-US"/>
        </w:rPr>
        <w:t xml:space="preserve"> of human dermal fibroblasts</w:t>
      </w:r>
      <w:r>
        <w:rPr>
          <w:lang w:val="en-US"/>
        </w:rPr>
        <w:t xml:space="preserve"> was investigated</w:t>
      </w:r>
      <w:r w:rsidRPr="003C7C4E">
        <w:rPr>
          <w:lang w:val="en-US"/>
        </w:rPr>
        <w:t>.</w:t>
      </w:r>
      <w:r w:rsidR="00A61480">
        <w:rPr>
          <w:lang w:val="en-US"/>
        </w:rPr>
        <w:t xml:space="preserve"> </w:t>
      </w:r>
      <w:r w:rsidR="00A24443">
        <w:rPr>
          <w:lang w:val="en-US"/>
        </w:rPr>
        <w:t>A total of 3,803</w:t>
      </w:r>
      <w:r w:rsidR="00A24443" w:rsidRPr="00A61480">
        <w:rPr>
          <w:lang w:val="en-US"/>
        </w:rPr>
        <w:t xml:space="preserve"> diffe</w:t>
      </w:r>
      <w:r w:rsidR="00A24443">
        <w:rPr>
          <w:lang w:val="en-US"/>
        </w:rPr>
        <w:t xml:space="preserve">rentially </w:t>
      </w:r>
      <w:r w:rsidR="00A24443" w:rsidRPr="00A24443">
        <w:rPr>
          <w:lang w:val="en-US"/>
        </w:rPr>
        <w:t>expressed genes with</w:t>
      </w:r>
      <w:r w:rsidR="00A24443">
        <w:rPr>
          <w:lang w:val="en-US"/>
        </w:rPr>
        <w:t xml:space="preserve"> a</w:t>
      </w:r>
      <w:r w:rsidR="00A24443" w:rsidRPr="00A61480">
        <w:rPr>
          <w:lang w:val="en-US"/>
        </w:rPr>
        <w:t xml:space="preserve"> fold change</w:t>
      </w:r>
      <w:r w:rsidR="00A24443">
        <w:rPr>
          <w:lang w:val="en-US"/>
        </w:rPr>
        <w:t xml:space="preserve"> </w:t>
      </w:r>
      <w:r w:rsidR="00A24443" w:rsidRPr="00A61480">
        <w:rPr>
          <w:lang w:val="en-US"/>
        </w:rPr>
        <w:t xml:space="preserve">greater than or equal to 1.3 and below than or equal to 0.7 for whole genome transcripts, </w:t>
      </w:r>
      <w:r w:rsidR="00A24443">
        <w:rPr>
          <w:lang w:val="en-US"/>
        </w:rPr>
        <w:t xml:space="preserve">with </w:t>
      </w:r>
      <w:r w:rsidR="00A24443" w:rsidRPr="00246D61">
        <w:rPr>
          <w:lang w:val="en-US"/>
        </w:rPr>
        <w:t xml:space="preserve">a </w:t>
      </w:r>
      <w:r w:rsidR="00961D98" w:rsidRPr="00246D61">
        <w:rPr>
          <w:lang w:val="en-US"/>
        </w:rPr>
        <w:t>P</w:t>
      </w:r>
      <w:r w:rsidR="00A24443" w:rsidRPr="00246D61">
        <w:rPr>
          <w:lang w:val="en-US"/>
        </w:rPr>
        <w:t xml:space="preserve"> value </w:t>
      </w:r>
      <w:r w:rsidR="00A24443">
        <w:rPr>
          <w:lang w:val="en-US"/>
        </w:rPr>
        <w:t xml:space="preserve">of &lt; </w:t>
      </w:r>
      <w:r w:rsidR="00A24443" w:rsidRPr="00A61480">
        <w:rPr>
          <w:lang w:val="en-US"/>
        </w:rPr>
        <w:t>0.05 were identified</w:t>
      </w:r>
      <w:r w:rsidR="0051441E">
        <w:rPr>
          <w:lang w:val="en-US"/>
        </w:rPr>
        <w:t xml:space="preserve"> in response to all applied conditions</w:t>
      </w:r>
      <w:r w:rsidR="00A24443" w:rsidRPr="00A61480">
        <w:rPr>
          <w:lang w:val="en-US"/>
        </w:rPr>
        <w:t>.</w:t>
      </w:r>
      <w:r w:rsidR="00A24443">
        <w:rPr>
          <w:lang w:val="en-US"/>
        </w:rPr>
        <w:t xml:space="preserve"> W</w:t>
      </w:r>
      <w:r w:rsidR="000C2D12" w:rsidRPr="001D0003">
        <w:rPr>
          <w:lang w:val="en-US"/>
        </w:rPr>
        <w:t xml:space="preserve">e </w:t>
      </w:r>
      <w:r w:rsidR="00A24443">
        <w:rPr>
          <w:lang w:val="en-US"/>
        </w:rPr>
        <w:t>found</w:t>
      </w:r>
      <w:r w:rsidR="000C2D12" w:rsidRPr="001D0003">
        <w:rPr>
          <w:lang w:val="en-US"/>
        </w:rPr>
        <w:t xml:space="preserve"> that </w:t>
      </w:r>
      <w:r w:rsidR="000C2D12">
        <w:rPr>
          <w:lang w:val="en-US"/>
        </w:rPr>
        <w:t>although the</w:t>
      </w:r>
      <w:r w:rsidR="000C2D12" w:rsidRPr="001D0003">
        <w:rPr>
          <w:lang w:val="en-US"/>
        </w:rPr>
        <w:t xml:space="preserve"> total number of </w:t>
      </w:r>
      <w:r w:rsidR="000C2D12">
        <w:rPr>
          <w:lang w:val="en-US"/>
        </w:rPr>
        <w:t>deregulated genes wa</w:t>
      </w:r>
      <w:r w:rsidR="000C2D12" w:rsidRPr="001D0003">
        <w:rPr>
          <w:lang w:val="en-US"/>
        </w:rPr>
        <w:t>s relatively high</w:t>
      </w:r>
      <w:r w:rsidR="00885947">
        <w:rPr>
          <w:lang w:val="en-US"/>
        </w:rPr>
        <w:t xml:space="preserve"> at such criteria</w:t>
      </w:r>
      <w:r w:rsidR="000C2D12">
        <w:rPr>
          <w:lang w:val="en-US"/>
        </w:rPr>
        <w:t>,</w:t>
      </w:r>
      <w:r w:rsidR="000C2D12" w:rsidRPr="001D0003">
        <w:rPr>
          <w:lang w:val="en-US"/>
        </w:rPr>
        <w:t xml:space="preserve"> changes in </w:t>
      </w:r>
      <w:r w:rsidR="000C2D12">
        <w:rPr>
          <w:lang w:val="en-US"/>
        </w:rPr>
        <w:t>fibroblast</w:t>
      </w:r>
      <w:r w:rsidR="000C2D12" w:rsidRPr="001D0003">
        <w:rPr>
          <w:lang w:val="en-US"/>
        </w:rPr>
        <w:t xml:space="preserve"> transcriptome </w:t>
      </w:r>
      <w:r w:rsidR="000C2D12">
        <w:rPr>
          <w:lang w:val="en-US"/>
        </w:rPr>
        <w:t>profile</w:t>
      </w:r>
      <w:r w:rsidR="000C2D12" w:rsidRPr="001D0003">
        <w:rPr>
          <w:lang w:val="en-US"/>
        </w:rPr>
        <w:t xml:space="preserve"> after treatment at selected experimental conditions were </w:t>
      </w:r>
      <w:r w:rsidR="004022B3">
        <w:rPr>
          <w:lang w:val="en-US"/>
        </w:rPr>
        <w:t xml:space="preserve">however </w:t>
      </w:r>
      <w:r w:rsidR="000C2D12" w:rsidRPr="001D0003">
        <w:rPr>
          <w:lang w:val="en-US"/>
        </w:rPr>
        <w:t>smallish</w:t>
      </w:r>
      <w:r w:rsidR="00E00E64">
        <w:rPr>
          <w:lang w:val="en-US"/>
        </w:rPr>
        <w:t>, as t</w:t>
      </w:r>
      <w:r w:rsidR="00A24443">
        <w:rPr>
          <w:lang w:val="en-US"/>
        </w:rPr>
        <w:t xml:space="preserve">he selected drugs slightly modulate transcriptome with only a few genes with expression altered a bit more than twice. </w:t>
      </w:r>
      <w:r w:rsidR="004022B3" w:rsidRPr="008D6ADE">
        <w:rPr>
          <w:lang w:val="en-US"/>
        </w:rPr>
        <w:t>Nevertheless</w:t>
      </w:r>
      <w:r w:rsidR="00315924" w:rsidRPr="008D6ADE">
        <w:rPr>
          <w:lang w:val="en-US"/>
        </w:rPr>
        <w:t xml:space="preserve">, </w:t>
      </w:r>
      <w:r w:rsidR="00315924" w:rsidRPr="000A70E7">
        <w:rPr>
          <w:lang w:val="en-US"/>
        </w:rPr>
        <w:t>transcriptomic data has</w:t>
      </w:r>
      <w:r w:rsidR="00315924">
        <w:rPr>
          <w:lang w:val="en-US"/>
        </w:rPr>
        <w:t xml:space="preserve"> its own limitations and it can</w:t>
      </w:r>
      <w:r w:rsidR="00315924" w:rsidRPr="000A70E7">
        <w:rPr>
          <w:lang w:val="en-US"/>
        </w:rPr>
        <w:t xml:space="preserve">not reflect </w:t>
      </w:r>
      <w:r w:rsidR="00315924">
        <w:rPr>
          <w:lang w:val="en-US"/>
        </w:rPr>
        <w:t xml:space="preserve">all </w:t>
      </w:r>
      <w:r w:rsidR="00315924" w:rsidRPr="000A70E7">
        <w:rPr>
          <w:lang w:val="en-US"/>
        </w:rPr>
        <w:t>post-transcriptional changes</w:t>
      </w:r>
      <w:r w:rsidR="00315924">
        <w:rPr>
          <w:lang w:val="en-US"/>
        </w:rPr>
        <w:t>, which in turn may cause same risks, especially for a long time of medication.</w:t>
      </w:r>
    </w:p>
    <w:p w:rsidR="003E0968" w:rsidRDefault="003E0968" w:rsidP="0074582E">
      <w:pPr>
        <w:spacing w:line="480" w:lineRule="auto"/>
        <w:rPr>
          <w:lang w:val="en-US"/>
        </w:rPr>
      </w:pPr>
    </w:p>
    <w:p w:rsidR="003E0968" w:rsidRDefault="003E0968" w:rsidP="0074582E">
      <w:pPr>
        <w:spacing w:line="480" w:lineRule="auto"/>
        <w:rPr>
          <w:lang w:val="en-US"/>
        </w:rPr>
      </w:pPr>
    </w:p>
    <w:p w:rsidR="003E0968" w:rsidRDefault="003E0968" w:rsidP="0074582E">
      <w:pPr>
        <w:spacing w:line="480" w:lineRule="auto"/>
        <w:rPr>
          <w:lang w:val="en-US"/>
        </w:rPr>
      </w:pPr>
    </w:p>
    <w:p w:rsidR="003E0968" w:rsidRDefault="003E0968" w:rsidP="0074582E">
      <w:pPr>
        <w:spacing w:line="480" w:lineRule="auto"/>
        <w:rPr>
          <w:lang w:val="en-US"/>
        </w:rPr>
      </w:pPr>
    </w:p>
    <w:p w:rsidR="003E0968" w:rsidRDefault="003E0968" w:rsidP="0074582E">
      <w:pPr>
        <w:spacing w:line="480" w:lineRule="auto"/>
        <w:rPr>
          <w:lang w:val="en-US"/>
        </w:rPr>
      </w:pPr>
    </w:p>
    <w:p w:rsidR="007274E2" w:rsidRDefault="007274E2" w:rsidP="0074582E">
      <w:pPr>
        <w:spacing w:line="480" w:lineRule="auto"/>
        <w:rPr>
          <w:b/>
          <w:lang w:val="en-US"/>
        </w:rPr>
      </w:pPr>
      <w:r>
        <w:rPr>
          <w:b/>
          <w:lang w:val="en-US"/>
        </w:rPr>
        <w:lastRenderedPageBreak/>
        <w:t>Chemical compounds studied in this article</w:t>
      </w:r>
    </w:p>
    <w:p w:rsidR="007274E2" w:rsidRPr="007274E2" w:rsidRDefault="007274E2" w:rsidP="0074582E">
      <w:pPr>
        <w:spacing w:line="480" w:lineRule="auto"/>
        <w:rPr>
          <w:lang w:val="en-US"/>
        </w:rPr>
      </w:pPr>
      <w:r w:rsidRPr="007274E2">
        <w:rPr>
          <w:lang w:val="en-US"/>
        </w:rPr>
        <w:t>Indomethacin (PubChem CID: 3715); Nimedulide (PubChem CID: 4495)</w:t>
      </w:r>
    </w:p>
    <w:p w:rsidR="00E500D8" w:rsidRDefault="00E500D8" w:rsidP="0074582E">
      <w:pPr>
        <w:spacing w:line="480" w:lineRule="auto"/>
        <w:rPr>
          <w:b/>
          <w:lang w:val="en-US"/>
        </w:rPr>
      </w:pPr>
    </w:p>
    <w:p w:rsidR="007274E2" w:rsidRDefault="007274E2" w:rsidP="0074582E">
      <w:pPr>
        <w:spacing w:line="480" w:lineRule="auto"/>
        <w:rPr>
          <w:b/>
          <w:lang w:val="en-US"/>
        </w:rPr>
      </w:pPr>
      <w:r>
        <w:rPr>
          <w:b/>
          <w:lang w:val="en-US"/>
        </w:rPr>
        <w:t>Key</w:t>
      </w:r>
      <w:r w:rsidR="00FD1E7C">
        <w:rPr>
          <w:b/>
          <w:lang w:val="en-US"/>
        </w:rPr>
        <w:t>words</w:t>
      </w:r>
    </w:p>
    <w:p w:rsidR="00FD1E7C" w:rsidRPr="007274E2" w:rsidRDefault="00ED6234" w:rsidP="0074582E">
      <w:pPr>
        <w:spacing w:line="480" w:lineRule="auto"/>
        <w:rPr>
          <w:b/>
          <w:lang w:val="en-US"/>
        </w:rPr>
      </w:pPr>
      <w:r>
        <w:rPr>
          <w:lang w:val="en-US"/>
        </w:rPr>
        <w:t>N</w:t>
      </w:r>
      <w:r w:rsidRPr="003C7C4E">
        <w:rPr>
          <w:lang w:val="en-US"/>
        </w:rPr>
        <w:t xml:space="preserve">on-steroidal anti-inflammatory drugs </w:t>
      </w:r>
      <w:r>
        <w:rPr>
          <w:lang w:val="en-US"/>
        </w:rPr>
        <w:t>(</w:t>
      </w:r>
      <w:r w:rsidR="0029148E" w:rsidRPr="00ED6234">
        <w:rPr>
          <w:lang w:val="en-US"/>
        </w:rPr>
        <w:t>NSAIDs</w:t>
      </w:r>
      <w:r>
        <w:rPr>
          <w:lang w:val="en-US"/>
        </w:rPr>
        <w:t>)</w:t>
      </w:r>
      <w:r w:rsidR="00FD1E7C">
        <w:rPr>
          <w:lang w:val="en-US"/>
        </w:rPr>
        <w:t xml:space="preserve">, Gene expression profiling, </w:t>
      </w:r>
      <w:r w:rsidR="00FD1E7C">
        <w:rPr>
          <w:color w:val="000000"/>
          <w:shd w:val="clear" w:color="auto" w:fill="FFFFFF"/>
          <w:lang w:val="en-US"/>
        </w:rPr>
        <w:t xml:space="preserve">Cell cycle, </w:t>
      </w:r>
      <w:r w:rsidR="00FD1E7C" w:rsidRPr="00182923">
        <w:rPr>
          <w:color w:val="000000"/>
          <w:shd w:val="clear" w:color="auto" w:fill="FFFFFF"/>
          <w:lang w:val="en-US"/>
        </w:rPr>
        <w:t>Fibroblasts</w:t>
      </w:r>
      <w:r w:rsidR="00FD1E7C">
        <w:rPr>
          <w:lang w:val="en-US"/>
        </w:rPr>
        <w:br w:type="page"/>
      </w:r>
      <w:r w:rsidR="00BE5FD4" w:rsidRPr="00BE5FD4">
        <w:rPr>
          <w:b/>
          <w:lang w:val="en-US"/>
        </w:rPr>
        <w:t>1.</w:t>
      </w:r>
      <w:r w:rsidR="00BE5FD4">
        <w:rPr>
          <w:lang w:val="en-US"/>
        </w:rPr>
        <w:t xml:space="preserve"> </w:t>
      </w:r>
      <w:r w:rsidR="00BE5FD4">
        <w:rPr>
          <w:b/>
          <w:lang w:val="en-US"/>
        </w:rPr>
        <w:t>INTRODUCTION</w:t>
      </w:r>
    </w:p>
    <w:p w:rsidR="00FD1E7C" w:rsidRDefault="00FD1E7C" w:rsidP="003E1EEB">
      <w:pPr>
        <w:spacing w:line="480" w:lineRule="auto"/>
        <w:rPr>
          <w:lang w:val="en-US"/>
        </w:rPr>
      </w:pPr>
      <w:r w:rsidRPr="00B71A80">
        <w:rPr>
          <w:lang w:val="en-US"/>
        </w:rPr>
        <w:t>Non-steroidal anti-inflammatory drugs (NSAIDs) are primarily used as analgesics, antipyretics and anti-inflammatory agents, which are among the most widely used medications worldwide</w:t>
      </w:r>
      <w:r>
        <w:rPr>
          <w:lang w:val="en-US"/>
        </w:rPr>
        <w:t xml:space="preserve"> </w:t>
      </w:r>
      <w:r w:rsidR="006C4E42">
        <w:rPr>
          <w:lang w:val="en-US"/>
        </w:rPr>
        <w:fldChar w:fldCharType="begin" w:fldLock="1"/>
      </w:r>
      <w:r w:rsidR="00B8446D">
        <w:rPr>
          <w:lang w:val="en-US"/>
        </w:rPr>
        <w:instrText>ADDIN CSL_CITATION { "citationItems" : [ { "id" : "ITEM-1", "itemData" : { "DOI" : "10.1007/s00296-011-2263-6", "ISSN" : "1437-160X", "PMID" : "22193214", "abstract" : "Non-steroidal anti-inflammatory drugs (NSAIDs) represent a diverse class of drugs and are among the most commonly used analgesics for arthritic pain worldwide, though long-term use is associated with a spectrum of adverse effects. The introduction of cyclooxygenase-2-selective NSAIDs early in the last decade offered an alternative to traditional NSAIDs with similar efficacy and improved gastrointestinal tolerability; however, emerging concerns about cardiovascular safety resulted in the withdrawal of two agents (rofecoxib and valdecoxib) in the mid-2000s and, subsequently, in an overall reduction in NSAID use. It is now understood that all NSAIDs are associated with some varying degree of gastrointestinal and cardiovascular risk. Guidelines still recommend their use, but little is known of how patients use these agents. While strategies and guidelines aimed at reducing NSAID-associated complications exist, there is a need for evidence-based algorithms combining cardiovascular and gastrointestinal factors that can be used to aid treatment decisions at an individual patient level.", "author" : [ { "dropping-particle" : "", "family" : "Conaghan", "given" : "Philip G", "non-dropping-particle" : "", "parse-names" : false, "suffix" : "" } ], "container-title" : "Rheumatology international", "id" : "ITEM-1", "issue" : "6", "issued" : { "date-parts" : [ [ "2012", "6" ] ] }, "page" : "1491-502", "publisher" : "Springer", "title" : "A turbulent decade for NSAIDs: update on current concepts of classification, epidemiology, comparative efficacy, and toxicity.", "type" : "article-journal", "volume" : "32" }, "uris" : [ "http://www.mendeley.com/documents/?uuid=82e9377f-6302-331d-8ff5-9ca71862a2c1" ] } ], "mendeley" : { "formattedCitation" : "(Conaghan, 2012)", "plainTextFormattedCitation" : "(Conaghan, 2012)", "previouslyFormattedCitation" : "(Conaghan, 2012)" }, "properties" : { "noteIndex" : 0 }, "schema" : "https://github.com/citation-style-language/schema/raw/master/csl-citation.json" }</w:instrText>
      </w:r>
      <w:r w:rsidR="006C4E42">
        <w:rPr>
          <w:lang w:val="en-US"/>
        </w:rPr>
        <w:fldChar w:fldCharType="separate"/>
      </w:r>
      <w:r w:rsidR="00B8446D" w:rsidRPr="00B8446D">
        <w:rPr>
          <w:noProof/>
          <w:lang w:val="en-US"/>
        </w:rPr>
        <w:t>(Conaghan, 2012)</w:t>
      </w:r>
      <w:r w:rsidR="006C4E42">
        <w:rPr>
          <w:lang w:val="en-US"/>
        </w:rPr>
        <w:fldChar w:fldCharType="end"/>
      </w:r>
      <w:r w:rsidRPr="00B71A80">
        <w:rPr>
          <w:lang w:val="en-US"/>
        </w:rPr>
        <w:t>. It is estimated that everyday about 30 million people consume NSAIDs</w:t>
      </w:r>
      <w:r>
        <w:rPr>
          <w:lang w:val="en-US"/>
        </w:rPr>
        <w:t xml:space="preserve"> </w:t>
      </w:r>
      <w:r w:rsidR="006C4E42">
        <w:rPr>
          <w:lang w:val="en-US"/>
        </w:rPr>
        <w:fldChar w:fldCharType="begin" w:fldLock="1"/>
      </w:r>
      <w:r w:rsidR="00B8446D">
        <w:rPr>
          <w:lang w:val="en-US"/>
        </w:rPr>
        <w:instrText>ADDIN CSL_CITATION { "citationItems" : [ { "id" : "ITEM-1", "itemData" : { "DOI" : "10.1186/ar4175", "ISBN" : "1478-6354\\r1478-6362", "ISSN" : "1478-6362", "PMID" : "24267289", "abstract" : "NSAIDs are among the most commonly used drugs worldwide and their beneficial therapeutic properties are thoroughly accepted. However, they are also associated with gastrointestinal (GI) adverse events. NSAIDs can damage the whole GI tract including a wide spectrum of lesions. About 1 to 2% of NSAID users experienced a serious GI complication during treatment. The relative risk of upper GI complications among NSAID users depends on the presence of different risk factors, including older age (&gt;65 years), history of complicated peptic ulcer, and concomitant aspirin or anticoagulant use, in addition to the type and dose of NSAID. Some authors recently reported a decreasing trend in hospitalizations due to upper GI complications and a significant increase in those from the lower GI tract, causing the rates of these two types of GI complications to converge. NSAID-induced enteropathy has gained much attention in the last few years and an increasing number of reports have been published on this issue. Current evidence suggests that NSAIDs increase the risk of lower GI bleeding and perforation to a similar extent as that seen in the upper GI tract. Selective cyclooxygenase-2 inhibitors have the same beneficial effects as nonselective NSAIDs but with less GI toxicity in the upper GI tract and probably in the lower GI tract. Overall, mortality due to these complications has also decreased, but the in-hospital case fatality for upper and lower GI complication events has remained constant despite the new therapeutic and prevention strategies. \u00a9 2013 BioMed Central Ltd.", "author" : [ { "dropping-particle" : "", "family" : "Sostres", "given" : "C", "non-dropping-particle" : "", "parse-names" : false, "suffix" : "" }, { "dropping-particle" : "", "family" : "Gargallo", "given" : "C J", "non-dropping-particle" : "", "parse-names" : false, "suffix" : "" }, { "dropping-particle" : "", "family" : "Lanas", "given" : "A", "non-dropping-particle" : "", "parse-names" : false, "suffix" : "" } ], "container-title" : "Arthritis Research and Therapy", "id" : "ITEM-1", "issue" : "SUPPL 3", "issued" : { "date-parts" : [ [ "2013" ] ] }, "page" : "1-8", "title" : "Nonsteroidal anti-inflammatory drugs and upper and lower gastrointestinal mucosal damage", "type" : "article-journal", "volume" : "15" }, "uris" : [ "http://www.mendeley.com/documents/?uuid=e315994d-3148-490a-ae9e-c30cb7f9e3c6" ] } ], "mendeley" : { "formattedCitation" : "(Sostres et al., 2013)", "plainTextFormattedCitation" : "(Sostres et al., 2013)", "previouslyFormattedCitation" : "(Sostres et al., 2013)" }, "properties" : { "noteIndex" : 0 }, "schema" : "https://github.com/citation-style-language/schema/raw/master/csl-citation.json" }</w:instrText>
      </w:r>
      <w:r w:rsidR="006C4E42">
        <w:rPr>
          <w:lang w:val="en-US"/>
        </w:rPr>
        <w:fldChar w:fldCharType="separate"/>
      </w:r>
      <w:r w:rsidR="00B8446D" w:rsidRPr="00B8446D">
        <w:rPr>
          <w:noProof/>
          <w:lang w:val="en-US"/>
        </w:rPr>
        <w:t>(Sostres et al., 2013)</w:t>
      </w:r>
      <w:r w:rsidR="006C4E42">
        <w:rPr>
          <w:lang w:val="en-US"/>
        </w:rPr>
        <w:fldChar w:fldCharType="end"/>
      </w:r>
      <w:r>
        <w:rPr>
          <w:lang w:val="en-US"/>
        </w:rPr>
        <w:t xml:space="preserve">. </w:t>
      </w:r>
      <w:r w:rsidRPr="00B71A80">
        <w:rPr>
          <w:lang w:val="en-US"/>
        </w:rPr>
        <w:t xml:space="preserve">The main mechanism of action of </w:t>
      </w:r>
      <w:r>
        <w:rPr>
          <w:lang w:val="en-US"/>
        </w:rPr>
        <w:t>n</w:t>
      </w:r>
      <w:r w:rsidRPr="00912929">
        <w:rPr>
          <w:lang w:val="en-US"/>
        </w:rPr>
        <w:t xml:space="preserve">on-steroidal anti-inflammatory drugs </w:t>
      </w:r>
      <w:r w:rsidRPr="00B71A80">
        <w:rPr>
          <w:lang w:val="en-US"/>
        </w:rPr>
        <w:t>is reduction of prostaglandins</w:t>
      </w:r>
      <w:r>
        <w:rPr>
          <w:lang w:val="en-US"/>
        </w:rPr>
        <w:t>’</w:t>
      </w:r>
      <w:r w:rsidRPr="00B71A80">
        <w:rPr>
          <w:lang w:val="en-US"/>
        </w:rPr>
        <w:t xml:space="preserve"> (PGs) biosynthesis by inhibition the activity of the cyclooxygenase (COX) enzymes. The production of prostaglandins is </w:t>
      </w:r>
      <w:r w:rsidR="00BE379E">
        <w:rPr>
          <w:lang w:val="en-US"/>
        </w:rPr>
        <w:t>catalyzed</w:t>
      </w:r>
      <w:r w:rsidRPr="00B71A80">
        <w:rPr>
          <w:lang w:val="en-US"/>
        </w:rPr>
        <w:t xml:space="preserve"> by two COX </w:t>
      </w:r>
      <w:r w:rsidR="00BE379E">
        <w:rPr>
          <w:lang w:val="en-US"/>
        </w:rPr>
        <w:t>isoenzymes</w:t>
      </w:r>
      <w:r w:rsidRPr="00B71A80">
        <w:rPr>
          <w:lang w:val="en-US"/>
        </w:rPr>
        <w:t>, commonly referred to as COX-1 and COX-2</w:t>
      </w:r>
      <w:r>
        <w:rPr>
          <w:lang w:val="en-US"/>
        </w:rPr>
        <w:t xml:space="preserve"> </w:t>
      </w:r>
      <w:r w:rsidR="006C4E42">
        <w:rPr>
          <w:lang w:val="en-US"/>
        </w:rPr>
        <w:fldChar w:fldCharType="begin" w:fldLock="1"/>
      </w:r>
      <w:r w:rsidR="00B8446D">
        <w:rPr>
          <w:lang w:val="en-US"/>
        </w:rPr>
        <w:instrText>ADDIN CSL_CITATION { "citationItems" : [ { "id" : "ITEM-1", "itemData" : { "DOI" : "10.1152/japplphysiol.00053.2013", "ISBN" : "1522-1601 (Electronic) 0161-7567 (Linking)", "ISSN" : "1522-1601", "PMID" : "23869068", "abstract" : "Nonsteroidal anti-inflammatory drugs (NSAIDs) are commonly used for the treatment of skeletal injuries. The ability of NSAIDs to reduce pain and inflammation is well-established. However, the effects of NSAID therapy on healing of skeletal injuries is less defined. NSAIDs inhibit cyclooxygenase activity to reduce synthesis of prostaglandins, which are proinflammatory, lipid-signaling molecules. Inhibition of cyclooxygenase activity can impact many physiological processes. The effects of NSAID therapy on healing of bone, tendon, and the tendon-to-bone junction (enthesis) have been studied in animal and cell culture models, but human studies are few. Use of different NSAIDs with different pharmacological properties, differences in dosing regimens, and differences in study models and outcome measures have complicated comparisons between studies. In this review, we summarize the mechanisms by which bone, tendon, and enthesis healing occurs, and describe the effects of NSAID therapy on each of these processes. Determining the impact of NSAID therapy on healing of skeletal tissues will enable clinicians to appropriately manage the patient's condition and improve healing outcomes.", "author" : [ { "dropping-particle" : "", "family" : "Su", "given" : "Bailey", "non-dropping-particle" : "", "parse-names" : false, "suffix" : "" }, { "dropping-particle" : "", "family" : "O'Connor", "given" : "J Patrick", "non-dropping-particle" : "", "parse-names" : false, "suffix" : "" } ], "container-title" : "Journal of applied physiology (Bethesda, Md. : 1985)", "id" : "ITEM-1", "issue" : "6", "issued" : { "date-parts" : [ [ "2013" ] ] }, "page" : "892-9", "title" : "NSAID therapy effects on healing of bone, tendon, and the enthesis.", "type" : "article-journal", "volume" : "115" }, "uris" : [ "http://www.mendeley.com/documents/?uuid=f67ce197-9f34-4746-b164-ba7ba340d640" ] } ], "mendeley" : { "formattedCitation" : "(Su and O\u2019Connor, 2013)", "plainTextFormattedCitation" : "(Su and O\u2019Connor, 2013)", "previouslyFormattedCitation" : "(Su and O\u2019Connor, 2013)" }, "properties" : { "noteIndex" : 0 }, "schema" : "https://github.com/citation-style-language/schema/raw/master/csl-citation.json" }</w:instrText>
      </w:r>
      <w:r w:rsidR="006C4E42">
        <w:rPr>
          <w:lang w:val="en-US"/>
        </w:rPr>
        <w:fldChar w:fldCharType="separate"/>
      </w:r>
      <w:r w:rsidR="00B8446D" w:rsidRPr="00B8446D">
        <w:rPr>
          <w:noProof/>
          <w:lang w:val="en-US"/>
        </w:rPr>
        <w:t>(Su and O’Connor, 2013)</w:t>
      </w:r>
      <w:r w:rsidR="006C4E42">
        <w:rPr>
          <w:lang w:val="en-US"/>
        </w:rPr>
        <w:fldChar w:fldCharType="end"/>
      </w:r>
      <w:r>
        <w:rPr>
          <w:lang w:val="en-US"/>
        </w:rPr>
        <w:t xml:space="preserve">. </w:t>
      </w:r>
      <w:r w:rsidRPr="00B71A80">
        <w:rPr>
          <w:lang w:val="en-US"/>
        </w:rPr>
        <w:t>COX-1 is constitutively expressed in many tissues and its metabolic products are considered to be involved in cellular housekeeping functions. In contrast</w:t>
      </w:r>
      <w:r>
        <w:rPr>
          <w:lang w:val="en-US"/>
        </w:rPr>
        <w:t xml:space="preserve"> to COX-1</w:t>
      </w:r>
      <w:r w:rsidRPr="00B71A80">
        <w:rPr>
          <w:lang w:val="en-US"/>
        </w:rPr>
        <w:t>, the expression of COX-2 is highly inducible by various inflammatory mediators and mitogens</w:t>
      </w:r>
      <w:r>
        <w:rPr>
          <w:lang w:val="en-US"/>
        </w:rPr>
        <w:t xml:space="preserve"> </w:t>
      </w:r>
      <w:r w:rsidR="006C4E42">
        <w:rPr>
          <w:lang w:val="en-US"/>
        </w:rPr>
        <w:fldChar w:fldCharType="begin" w:fldLock="1"/>
      </w:r>
      <w:r w:rsidR="00B8446D">
        <w:rPr>
          <w:lang w:val="en-US"/>
        </w:rPr>
        <w:instrText>ADDIN CSL_CITATION { "citationItems" : [ { "id" : "ITEM-1", "itemData" : { "DOI" : "10.1016/j.ejphar.2006.01.008", "ISSN" : "00142999", "PMID" : "16487511", "abstract" : "Nonsteroidal anti-inflammatory drugs (NSAIDs) are widely used drugs for the treatment of inflammatory disease and have a chemopreventive effect in a variety of tumors. Several studies have demonstrated unequivocally that certain NSAIDs cause antiproliferative effects independent of cyclooxygenase (COX) activity. In this study, we investigated the effect of chemically unrelated NSAIDs in the proliferation of glioma cell lines and the possible mechanisms involved in indomethacin-mediated inhibition of proliferation in glioma cells lines. The glioma cell lines were treated with NSAIDs and proliferation was measured by cell counting. Indomethacin, acetaminophen, sulindac sulfide and NS-398 (N-[2-cyclohexyloxy)-4-nitrophenyl]methane-sulfonamide) induced a time- and concentration-dependent inhibition of C6 rat glioma cell proliferation. The inhibition of COX by chemically unrelated NSAIDs leads to inhibition of rat and human glioma cell proliferation. The tetrazolium reduction assay (MTT) indicated a reduction in cell viability induced by indomethacin. None of the NSAIDs tested induced caspase-3/7 activation, assayed with a fluorigenic substrate. The indomethacin-induced inhibition of C6 cells proliferation was abrogated by the use of the c-Src inhibitor, PP2 and the MEK inhibitor, PD 098059, suggesting COX-independent mechanisms. Indomethacin decreased the percentage of cells in the S phase, with relative increases in the G0/G1 and/or the G2/M phase. NSAIDs may be clinically important for pharmacological intervention in gliomas. \u00a9 2006 Elsevier B.V. All rights reserved.", "author" : [ { "dropping-particle" : "", "family" : "Bernardi", "given" : "Andressa", "non-dropping-particle" : "", "parse-names" : false, "suffix" : "" }, { "dropping-particle" : "", "family" : "Jacques-Silva", "given" : "Maria C.", "non-dropping-particle" : "", "parse-names" : false, "suffix" : "" }, { "dropping-particle" : "", "family" : "Delgado-Ca\u00f1edo", "given" : "Andr\u00e9s", "non-dropping-particle" : "", "parse-names" : false, "suffix" : "" }, { "dropping-particle" : "", "family" : "Lenz", "given" : "Guido", "non-dropping-particle" : "", "parse-names" : false, "suffix" : "" }, { "dropping-particle" : "", "family" : "Battastini", "given" : "A. M O", "non-dropping-particle" : "", "parse-names" : false, "suffix" : "" } ], "container-title" : "European Journal of Pharmacology", "id" : "ITEM-1", "issue" : "3", "issued" : { "date-parts" : [ [ "2006" ] ] }, "page" : "214-222", "title" : "Nonsteroidal anti-inflammatory drugs inhibit the growth of C6 and U138-MG glioma cell lines", "type" : "article-journal", "volume" : "532" }, "uris" : [ "http://www.mendeley.com/documents/?uuid=e60ae4f2-8a2f-424c-9dae-f7e7983493c7" ] } ], "mendeley" : { "formattedCitation" : "(Bernardi et al., 2006)", "plainTextFormattedCitation" : "(Bernardi et al., 2006)", "previouslyFormattedCitation" : "(Bernardi et al., 2006)" }, "properties" : { "noteIndex" : 0 }, "schema" : "https://github.com/citation-style-language/schema/raw/master/csl-citation.json" }</w:instrText>
      </w:r>
      <w:r w:rsidR="006C4E42">
        <w:rPr>
          <w:lang w:val="en-US"/>
        </w:rPr>
        <w:fldChar w:fldCharType="separate"/>
      </w:r>
      <w:r w:rsidR="00B8446D" w:rsidRPr="00B8446D">
        <w:rPr>
          <w:noProof/>
          <w:lang w:val="en-US"/>
        </w:rPr>
        <w:t>(Bernardi et al., 2006)</w:t>
      </w:r>
      <w:r w:rsidR="006C4E42">
        <w:rPr>
          <w:lang w:val="en-US"/>
        </w:rPr>
        <w:fldChar w:fldCharType="end"/>
      </w:r>
      <w:r w:rsidRPr="00B71A80">
        <w:rPr>
          <w:lang w:val="en-US"/>
        </w:rPr>
        <w:t>. Interestingly, COX-2 is significantly up-regulated in a variety of neurological disorders (e.g. Alzheimer’s and Parkinson’s diseases) and numerous type</w:t>
      </w:r>
      <w:r>
        <w:rPr>
          <w:lang w:val="en-US"/>
        </w:rPr>
        <w:t>s</w:t>
      </w:r>
      <w:r w:rsidRPr="00B71A80">
        <w:rPr>
          <w:lang w:val="en-US"/>
        </w:rPr>
        <w:t xml:space="preserve"> of human tumors, including colorectal, gastric, lung and breast cancer</w:t>
      </w:r>
      <w:r>
        <w:rPr>
          <w:lang w:val="en-US"/>
        </w:rPr>
        <w:t xml:space="preserve">s </w:t>
      </w:r>
      <w:r w:rsidR="006C4E42">
        <w:rPr>
          <w:lang w:val="en-US"/>
        </w:rPr>
        <w:fldChar w:fldCharType="begin" w:fldLock="1"/>
      </w:r>
      <w:r w:rsidR="00B8446D">
        <w:rPr>
          <w:lang w:val="en-US"/>
        </w:rPr>
        <w:instrText>ADDIN CSL_CITATION { "citationItems" : [ { "id" : "ITEM-1", "itemData" : { "DOI" : "10.1111/j.1471-4159.2004.02743.x", "ISBN" : "0022-3042 (Print)\\r0022-3042 (Linking)", "ISSN" : "00223042", "PMID" : "15485484", "abstract" : "Alzheimer's disease (AD) is characterized by cerebral deposits of beta-amyloid (A beta) peptides and neurofibrillary tangles (NFT) which are surrounded by inflammatory cells. Epidemiological studies have shown that prolonged use of non-steroidal anti-inflammatory drugs (NSAIDs) reduces the risk of developing AD and delays the onset of the disease. It has been postulated that some NSAIDs target pathological hallmarks of AD by interacting with several pathways, including the inhibition of cyclooxygenases (COX) and activation of the peroxisome proliferator-activated receptor gamma. A variety of experimental studies indicate that a subset of NSAIDs such as ibuprofen, flurbiprofen, indomethacin and sulindac also possess A beta-lowering properties in both AD transgenic mice and cell cultures of peripheral, glial and neuronal origin. While COX inhibition occurs at low concentrations in vitro (nM-low microm range), the A beta-lowering activity is observed at high concentrations (&lt; or = 50 microm). Nonetheless, studies with flurbiprofen or ibuprofen in AD transgenic mice show that the effects on A beta levels or deposition are attained at plasma levels similar to those achieved in humans at therapeutic dosage. Still, it remains to be assessed whether adequate concentrations are reached in the brain. This is a crucial aspect that will allow defining the dose-window and the length of treatment in future clinical trials. Here, we will discuss how the combination of anti-amyloidogenic and anti-inflammatory activities of certain NSAIDs may produce a profile potentially relevant to their clinical use as disease-modifying agents for the treatment of AD.", "author" : [ { "dropping-particle" : "", "family" : "Gasparini", "given" : "Laura", "non-dropping-particle" : "", "parse-names" : false, "suffix" : "" }, { "dropping-particle" : "", "family" : "Ongini", "given" : "Ennio", "non-dropping-particle" : "", "parse-names" : false, "suffix" : "" }, { "dropping-particle" : "", "family" : "Wenk", "given" : "Gary", "non-dropping-particle" : "", "parse-names" : false, "suffix" : "" } ], "container-title" : "Journal of Neurochemistry", "id" : "ITEM-1", "issue" : "3", "issued" : { "date-parts" : [ [ "2004" ] ] }, "page" : "521-536", "title" : "Non-steroidal anti-inflammatory drugs (NSAIDs) in Alzheimer's disease: Old and new mechanisms of action", "type" : "article-journal", "volume" : "91" }, "uris" : [ "http://www.mendeley.com/documents/?uuid=876ce56a-6328-4a6c-890d-4053a343108c" ] }, { "id" : "ITEM-2", "itemData" : { "DOI" : "10.3390/ph3072007", "ISSN" : "14248247", "abstract" : "Colon cancer is common worldwide and accounts for significant morbidity and mortality in patients. Fortunately, epidemiological studies have demonstrated that continuous therapy with NSAIDs offers real promise of chemoprevention and adjunct therapy for colon cancer patients. Tumour growth is the result of complex regulation that determines the balance between cell proliferation and cell death. How NSAIDs affect this balance is important for understanding and improving treatment strategies and drug effectiveness. NSAIDs inhibit proliferation and impair the growth of colon cancer cell lines when tested in culture in vitro and many NSAIDs also prevent tumorigenesis and reduce tumour growth in animal models and in patients, but the relationship to inhibition of tumour cell proliferation is less convincing, principally due to gaps in the available data. High concentrations of NSAIDs are required in vitro to achieve cancer cell inhibition and growth retardation at varying time-points following treatment. However, the results from studies with colon cancer cell xenografts are promising and, together with better comparative data on anti-proliferative NSAID concentrations and doses (for in vitro and in vivo administration), could provide more information to improve our understanding of the relationships between these agents, dose and dosing regimen, and cellular environment. \u00a9 2010 by the authors.", "author" : [ { "dropping-particle" : "", "family" : "Ettarh", "given" : "Raj", "non-dropping-particle" : "", "parse-names" : false, "suffix" : "" }, { "dropping-particle" : "", "family" : "Cullen", "given" : "Anthony", "non-dropping-particle" : "", "parse-names" : false, "suffix" : "" }, { "dropping-particle" : "", "family" : "Calamai", "given" : "Alvise", "non-dropping-particle" : "", "parse-names" : false, "suffix" : "" } ], "container-title" : "Pharmaceuticals", "id" : "ITEM-2", "issue" : "7", "issued" : { "date-parts" : [ [ "2010" ] ] }, "page" : "2007-2021", "title" : "NSAIDs and cell proliferation in colorectal cancer", "type" : "article-journal", "volume" : "3" }, "uris" : [ "http://www.mendeley.com/documents/?uuid=b8914332-7478-4ff8-a3a1-b2f4e916faab" ] }, { "id" : "ITEM-3", "itemData" : { "DOI" : "10.3892/ol.2015.3838", "ISSN" : "17921082", "PMID" : "26870226", "abstract" : "Certain non-steroidal anti-inflammatory drugs may possess anti-tumorigenic effects in certain cancer cell types. Sinomenine (SIN) is an alkaloid from Sinomenium acutum, a Chinese medicinal plant that inhibits inflammatory reactions and that has been used in the treatment of neuralgia and rheumatic diseases. In this study, we investigated the anticancer effects of SIN against colorectal cancer in vitro and in vivo, as well as the underlying mechanisms. The effects of SIN on proliferation, cell cycle progression and cyclooxygenase (COX)-2 expression were examined in human colorectal cancer-derived SW1116 cells. The in vivo effects of SIN were examined in a model of SW1116 tumor xenograft growth in athymic nude mice. Changes in COX-2 expression induced by the biological effects of SIN were analyzed by western blot analysis. The effects of SIN treatment on G1 phase cell cycle regulators in xenografts were analyzed by immunohistochemistry. Our findings demonstrate that SIN inhibits the proliferation of SW1116 cells by promoting their accumulation in the G1 phase, with concomitant suppression of COX-2 expression. Time- and dose-dependent inhibition of tumor growth and reduced toxicity were observed in nude mice administered daily intraperitoneal injections of SIN at doses of 25, 50 and 100 mg/kg. SIN-treated tumors also exhibited reduced COX-2 expression, a marked increase in Cip1/p21 protein levels and a decrease in the levels of cyclin D1 and cyclin E. SIN may be an effective chemopreventive agent against colorectal cancer. The growth inhibitory properties of SIN against colorectal cancer may be mediated via a COX-2 inhibitory effect and cell cycle arrest in the G1 phase.", "author" : [ { "dropping-particle" : "", "family" : "Yang", "given" : "Haibo", "non-dropping-particle" : "", "parse-names" : false, "suffix" : "" }, { "dropping-particle" : "", "family" : "Yin", "given" : "Peihao", "non-dropping-particle" : "", "parse-names" : false, "suffix" : "" }, { "dropping-particle" : "", "family" : "Shi", "given" : "Zhan", "non-dropping-particle" : "", "parse-names" : false, "suffix" : "" }, { "dropping-particle" : "", "family" : "Ma", "given" : "Yanchun", "non-dropping-particle" : "", "parse-names" : false, "suffix" : "" }, { "dropping-particle" : "", "family" : "Zhao", "given" : "Chenggen", "non-dropping-particle" : "", "parse-names" : false, "suffix" : "" }, { "dropping-particle" : "", "family" : "Zheng", "given" : "Jampu", "non-dropping-particle" : "", "parse-names" : false, "suffix" : "" }, { "dropping-particle" : "", "family" : "Chen", "given" : "Teng", "non-dropping-particle" : "", "parse-names" : false, "suffix" : "" } ], "container-title" : "Oncology Letters", "id" : "ITEM-3", "issue" : "1", "issued" : { "date-parts" : [ [ "2016" ] ] }, "page" : "411-418", "title" : "Sinomenine, a COX-2 inhibitor, induces cell cycle arrest and inhibits growth of human colon carcinoma cells in vitro and in vivo", "type" : "article-journal", "volume" : "11" }, "uris" : [ "http://www.mendeley.com/documents/?uuid=6a244a60-24c8-4403-8b4d-27c02cf3e83b" ] }, { "id" : "ITEM-4", "itemData" : { "DOI" : "10.1186/1758-3284-4-7", "ISBN" : "1758-3284", "ISSN" : "17583284", "PMID" : "22453101", "abstract" : "Background: The objective of this study was to evaluate the efficacy of Nimesulide, a selective cyclooxygenase-2 (COX-2) inhibitor, on the growth of hypopharyngeal carcinoma cells (FaDu) in vitro and investigate its potential mechanism. Methods: After FaDu cells were treated with graded concns. of Nimesulide for divergent time, sensitivity of cells to drug treatment was analyzed by MTT assay. Morphol. changes of FaDu cells in the presence of Nimesulide were obsd. by acridine orange cytochem. staining. Proliferating cells were detected using the 5-Bromo-2'-deoxy-uridine (BrdU) incorporation assay. Following cells were subjected to Nimesulide (500 \u03bcmol/l) for 6 h, 12 h and 24 h, the percentage of apoptosis was examd. by flow cytometry. We detected COX-2 and Survivin expression change by RT-PCR and Western blot and analyzed the correlation of them with the growth of FaDu cells. Addnl., we also analyzed Caspase-3, Bcl-2 and Bax expressions as markers to investigate the related pathway of Nimesulide-indued apoptosis. Results: Compared with the control group, the viabilities rates were decreased by Nimesulide in time- and dose-dependent manners, typical morphol. changes of apoptotic cells were obsd. in the Nimesulide-treatment groups, Nimesulide could suppress the proliferation of FaDu cells significantly. The percentage of apoptosis in FaDu cells were markedly increased after Nimesulide-treatment for 6 h, 12 h and 24 h. Nimesulide down-regulated the Survivin and COX-2 expressions at mRNA and protein levels in FaDu cells. Addnl. analyses indicated that Bcl-2 expression was significantly decreased and the expressions of Caspase-3 as well as Bax were increased at both mRNA and protein levels. Conclusions: Based on the induction of apoptosis and suppression of proliferation, Nimesulide could inhibit the growth of FaDu cells. Furthermore, the suppression of Survivin expression may play an important role in Nimesulide-induced growth inhibition. Nimesulide could act as an effective therapeutic agent for hypopharyngeal carcinoma therapy. [on SciFinder(R)]", "author" : [ { "dropping-particle" : "", "family" : "Tian", "given" : "Jia Jun", "non-dropping-particle" : "", "parse-names" : false, "suffix" : "" }, { "dropping-particle" : "", "family" : "Lu", "given" : "Su Mei", "non-dropping-particle" : "", "parse-names" : false, "suffix" : "" }, { "dropping-particle" : "", "family" : "Yu", "given" : "Liang", "</w:instrText>
      </w:r>
      <w:r w:rsidR="00B8446D" w:rsidRPr="00FA5ECE">
        <w:rPr>
          <w:lang w:val="sv-SE"/>
        </w:rPr>
        <w:instrText>non-dropping-particle" : "", "parse-names" : false, "suffix" : "" }, { "dropping-particle" : "", "family" : "Ma", "given" : "Ju Ke", "non-dropping-particle" : "", "parse-names" : false, "suffix" : "" }, { "dropping-particle" : "", "family" : "Mu", "given" : "Ya Kui", "non-dropping-particle" : "", "parse-names" : false, "suffix" : "" }, { "dropping-particle" : "", "family" : "Wang", "given" : "Hai Bo", "non-dropping-particle" : "", "parse-names" : false, "suffix" : "" }, { "dropping-particle" : "", "family" : "Xu", "given" : "Wei", "non-dropping-particle" : "", "parse-names" : false, "suffix" : "" } ], "container-title" : "Head and Neck Oncology", "id" : "ITEM-4", "issue" : "1", "issued" : { "date-parts" : [ [ "2012" ] ] }, "page" : "2-9", "title" : "Nimesulide inhibited the growth of hypopharyngeal carcinoma cells via suppressing Survivin expression", "type" : "article-journal", "volume" : "4" }, "uris" : [ "http://www.mendeley.com/documents/?uuid=192178b5-d8db-4d85-87f4-2768570ca7bc" ] } ], "mendeley" : { "formattedCitation" : "(Ettarh et al., 2010; Gasparini et al., 2004; Tian et al., 2012; Yang et al., 2016)", "plainTextFormattedCitation" : "(Ettarh et al., 2010; Gasparini et al., 2004; Tian et al., 2012; Yang et al., 2016)", "previouslyFormattedCitation" : "(Ettarh et al., 2010; Gasparini et al., 2004; Tian et al., 2012; Yang et al., 2016)" }, "properties" : { "noteIndex" : 0 }, "schema" : "https://github.com/citation-style-language/schema/raw/master/csl-citation.json" }</w:instrText>
      </w:r>
      <w:r w:rsidR="006C4E42">
        <w:rPr>
          <w:lang w:val="en-US"/>
        </w:rPr>
        <w:fldChar w:fldCharType="separate"/>
      </w:r>
      <w:r w:rsidR="00B8446D" w:rsidRPr="00FA5ECE">
        <w:rPr>
          <w:noProof/>
          <w:lang w:val="sv-SE"/>
        </w:rPr>
        <w:t>(Ettarh et al., 2010; Gasparini et al., 2004; Tian et al., 2012; Yang et al., 2016)</w:t>
      </w:r>
      <w:r w:rsidR="006C4E42">
        <w:rPr>
          <w:lang w:val="en-US"/>
        </w:rPr>
        <w:fldChar w:fldCharType="end"/>
      </w:r>
      <w:r w:rsidRPr="00FA5ECE">
        <w:rPr>
          <w:lang w:val="sv-SE"/>
        </w:rPr>
        <w:t xml:space="preserve">. </w:t>
      </w:r>
      <w:r w:rsidR="00330F99">
        <w:rPr>
          <w:lang w:val="en-US"/>
        </w:rPr>
        <w:t>Currently</w:t>
      </w:r>
      <w:r w:rsidR="00535EB0">
        <w:rPr>
          <w:lang w:val="en-US"/>
        </w:rPr>
        <w:t>, a</w:t>
      </w:r>
      <w:r w:rsidRPr="00B71A80">
        <w:rPr>
          <w:lang w:val="en-US"/>
        </w:rPr>
        <w:t xml:space="preserve"> growing amount of evidence from numerous </w:t>
      </w:r>
      <w:r w:rsidRPr="00232B1A">
        <w:rPr>
          <w:i/>
          <w:lang w:val="en-US"/>
        </w:rPr>
        <w:t>in vitro</w:t>
      </w:r>
      <w:r w:rsidRPr="00B71A80">
        <w:rPr>
          <w:lang w:val="en-US"/>
        </w:rPr>
        <w:t xml:space="preserve"> and </w:t>
      </w:r>
      <w:r w:rsidRPr="00232B1A">
        <w:rPr>
          <w:i/>
          <w:lang w:val="en-US"/>
        </w:rPr>
        <w:t>in vivo</w:t>
      </w:r>
      <w:r w:rsidRPr="00B71A80">
        <w:rPr>
          <w:lang w:val="en-US"/>
        </w:rPr>
        <w:t xml:space="preserve"> </w:t>
      </w:r>
      <w:r>
        <w:rPr>
          <w:lang w:val="en-US"/>
        </w:rPr>
        <w:t>experiments</w:t>
      </w:r>
      <w:r w:rsidRPr="00B71A80">
        <w:rPr>
          <w:lang w:val="en-US"/>
        </w:rPr>
        <w:t xml:space="preserve"> suggests positive effects of NSAIDs</w:t>
      </w:r>
      <w:r>
        <w:rPr>
          <w:lang w:val="en-US"/>
        </w:rPr>
        <w:t>,</w:t>
      </w:r>
      <w:r w:rsidRPr="00B71A80">
        <w:rPr>
          <w:lang w:val="en-US"/>
        </w:rPr>
        <w:t xml:space="preserve"> use</w:t>
      </w:r>
      <w:r>
        <w:rPr>
          <w:lang w:val="en-US"/>
        </w:rPr>
        <w:t>d</w:t>
      </w:r>
      <w:r w:rsidRPr="00B71A80">
        <w:rPr>
          <w:lang w:val="en-US"/>
        </w:rPr>
        <w:t xml:space="preserve"> in combination with other therapies</w:t>
      </w:r>
      <w:r>
        <w:rPr>
          <w:lang w:val="en-US"/>
        </w:rPr>
        <w:t>,</w:t>
      </w:r>
      <w:r w:rsidRPr="00B71A80">
        <w:rPr>
          <w:lang w:val="en-US"/>
        </w:rPr>
        <w:t xml:space="preserve"> </w:t>
      </w:r>
      <w:r>
        <w:rPr>
          <w:lang w:val="en-US"/>
        </w:rPr>
        <w:t>in</w:t>
      </w:r>
      <w:r w:rsidRPr="00B71A80">
        <w:rPr>
          <w:lang w:val="en-US"/>
        </w:rPr>
        <w:t xml:space="preserve"> achieving additive or synergistic</w:t>
      </w:r>
      <w:r>
        <w:rPr>
          <w:lang w:val="en-US"/>
        </w:rPr>
        <w:t xml:space="preserve"> </w:t>
      </w:r>
      <w:r w:rsidRPr="00B71A80">
        <w:rPr>
          <w:lang w:val="en-US"/>
        </w:rPr>
        <w:t>benefit</w:t>
      </w:r>
      <w:r>
        <w:rPr>
          <w:lang w:val="en-US"/>
        </w:rPr>
        <w:t xml:space="preserve">s in numerous cancers </w:t>
      </w:r>
      <w:r w:rsidR="006C4E42">
        <w:rPr>
          <w:lang w:val="en-US"/>
        </w:rPr>
        <w:fldChar w:fldCharType="begin" w:fldLock="1"/>
      </w:r>
      <w:r w:rsidR="00B8446D">
        <w:rPr>
          <w:lang w:val="en-US"/>
        </w:rPr>
        <w:instrText>ADDIN CSL_CITATION { "citationItems" : [ { "id" : "ITEM-1", "itemData" : { "DOI" : "10.3390/ijms140917972", "ISBN" : "1422-0067 (Electronic)\\r1422-0067 (Linking)", "ISSN" : "16616596", "PMID" : "24005861", "abstract" : "Colorectal cancer (CRC) is the third most common malignant neoplasm worldwide. Although conclusive evidence is still lacking, epidemiologic studies suggest that long-term use of non-steroidal anti-inflammatory drugs (NSAIDs) has chemopreventive properties against CRC. Similarly, regular consumption of mesalazine, a drug structurally related to NSAIDs, seems to reduce the risk of CRC in patients with ulcerative colitis. These observations are supported by a large body of experimental data showing the ability of such drugs to inhibit multiple pathways that sustain colon carcinogenesis. This review summarizes the current information on the molecular mechanisms by which NSAIDs and mesalazine could interfere with CRC cell growth and survival.", "author" : [ { "dropping-particle" : "", "family" : "Stolfi", "given" : "Carmine", "non-dropping-particle" : "", "parse-names" : false, "suffix" : "" }, { "dropping-particle" : "", "family" : "Simone", "given" : "Veronica", "non-dropping-particle" : "De", "parse-names" : false, "suffix" : "" }, { "dropping-particle" : "", "family" : "Pallone", "given" : "Francesco", "non-dropping-particle" : "", "parse-names" : false, "suffix" : "" }, { "dropping-particle" : "", "family" : "Monteleone", "given" : "Giovanni", "non-dropping-particle" : "", "parse-names" : false, "suffix" : "" } ], "container-title" : "International Journal of Molecular Sciences", "id" : "ITEM-1", "issue" : "9", "issued" : { "date-parts" : [ [ "2013" ] ] }, "page" : "17972-17985", "title" : "Mechanisms of action of non-steroidal anti-inflammatory drugs (NSAIDs) and mesalazine in the chemoprevention of colorectal cancer", "type" : "article-journal", "volume" : "14" }, "uris" : [ "http://www.mendeley.com/documents/?uuid=c3290f32-8ba2-4aee-b65b-f3ead4063558" ] }, { "id" : "ITEM-2", "itemData" : { "ISSN" : "1527-7755", "PMID" : "28015913", "abstract" : "3186 Background: Standard treatment modalities for head and neck cancer remain surgery, radiation, and chemotherapy. While surgical techniques, delivery of radiation, and chemotherapy options have expanded, survival rates remain stagnant. Targeted therapy with novel anticancer molecules show future promise. However, in the interim, any agent added to improve conventional treatment, without significant side effects, is a needed addition. NSAIDs are demonstrating chemopreventative and therapeutic benefits with low side-effect profiles, however, the mechanisms underlying these effects are poorly understood. METHODS In vitro growth inhibition of celecoxib and sulindac sulfide, alone and in combination with docetaxel and VP-16, were assayed by growth curve analysis and the MTT assay. Apoptosis was measured by sub-Go DNA accumulation and the production of activated caspase-3. Cell cycle distribution was performed with flow cytometry of PI stained cells. Protein levels of p21, p53, Rb, cyclin D, COX-2, and COX-1 were determined by western analysis. In vivo tumor growth inhibition was analyzed by volume changes in flank xenograft tumors in nude mice. RESULTS Celecoxib and sulindac sulfide inhibit the growth of UM-SCC-1 cells in a dose dependent fashion accompanied by an increase in apoptosis. This growth inhibition correlates with a G1 blockade which is accompanied by transcriptional activation of p21(cip1/waf1)without induction of p53 in this wild-type p53 cell line. Celecoxib and sulindac sulfide cause additive growth inhibition when combined with VP-16 and docetaxel. Animal studies correlate with in vitro studies with regard to protein induction and growth suppression. CONCLUSIONS Celecoxib and sulindac sulfide can be combined with standard chemotherapeutic agents to increase apoptosis in head and neck cancer cells and tumors. Growth inhibition is accompanied cell cycle arrest in G1 and induction of p21(cip1/waf1)in a p53-independent pathway. These pre-clinical studies form the foundation for future clinical trials. [Table: see text].", "author" : [ { "dropping-particle" : "", "family" : "Trask", "given" : "D", "non-dropping-particle" : "", "parse-names" : false, "suffix" : "" }, { "dropping-particle" : "", "family" : "Bock", "given" : "J", "non-dropping-particle" : "", "parse-names" : false, "suffix" : "" }, { "dropping-particle" : "", "family" : "Goswami", "given" : "P", "non-dropping-particle" : "", "parse-names" : false, "suffix" : "" }, { "dropping-particle" : "", "family" : "Menon", "given" : "S", "non-dropping-particle" : "", "parse-names" : false, "suffix" : "" } ], "container-title" : "Journal of clinical oncology : official journal of the American Society of Clinical Oncology", "id" : "ITEM-2", "issue" : "14_suppl", "issued" : { "date-parts" : [ [ "2004", "7", "15" ] ] }, "page" : "3186", "title" : "Celecoxib and sulindac sulfide enhance the cytotoxic effect of standard chemotherapeutic agents and possess anti-tumor activity mediated by p21(cipl/waf1) expression.", "type" : "article-journal", "volume" : "22" }, "uris" : [ "http://www.mendeley.com/documents/?uuid=51e40cd2-ba90-3f60-981d-c33fb3daa871" ] }, { "id" : "ITEM-3", "itemData" : { "DOI" : "10.1016/j.ejogrb.2012.05.018", "ISSN" : "03012115", "PMID" : "22656329", "abstract" : "Objectives: Endometrial cancer remains a leading cause of death in women and therefore the development of new therapies is essential. The present study evaluated the effects of nimesulide alone, cisplatin alone, and combination of cisplatin and nimesulide on an Ishikawa cell line with respect to cytotoxicity and induction of apoptosis in vitro. Study design: Ishikawa cells were treated with increasing doses of nimesulide alone, cisplatin alone, and a combination of cisplatin and nimesulide. Subsequently their effects on cytotoxicity were investigated by MTT assay, while apoptosis was investigated by DAPI and JC-1 staining and caspase-3 colorimetric assays. Results: 3-(4,5-Dimethylthiazol-2- yl)-2,5-diphenyltetrazolium bromide assay showed that nimesulide alone and combination of cisplatin and nimesulide have growth inhibitory effect on Ishikawa cells. Nimesulide alone and the combination of cisplatin and nimesulide induced apoptosis. Apoptosis induced by nimesulide might be related to caspase-3 activation. Conclusions: These results suggest that nimesulide treatment is as effective as cisplatin treatment in Ishikawa cells. The combination of cisplatin and nimesulide treatment is more effective than cisplatin alone in Ishikawa cells. \u00a9 2012 Elsevier Ireland Ltd. All rights reserved.", "author" : [ { "dropping-particle" : "", "family" : "\u00d6zalp", "given" : "S. Sinan", "non-dropping-particle" : "", "parse-names" : false, "suffix" : "" }, { "dropping-particle" : "", "family" : "Eren", "given" : "Ceren Yildiz", "non-dropping-particle" : "", "parse-names" : false, "suffix" : "" }, { "dropping-particle" : "", "family" : "Bostancioglu", "given" : "Rakibe Beklem", "non-dropping-particle" : "", "parse-names" : false, "suffix" : "" }, { "dropping-particle" : "", "family" : "Koparal", "given" : "Ay\u015fe Tansu", "non-dropping-particle" : "", "parse-names" : false, "suffix" : "" } ], "container-title" : "European Journal of Obstetrics Gynecology and Reproductive Biology", "id" : "ITEM-3", "issue" : "1", "issued" : { "date-parts" : [ [ "2012" ] ] }, "page" : "79-84", "title" : "Induction of apoptosis and inhibition of cell proliferation by the cyclooxgenase enzyme blocker nimesulide in the Ishikawa endometrial cancer cell line", "type" : "article-journal", "volume" : "164" }, "uris" : [ "http://www.mendeley.com/documents/?uuid=d7e6a4aa-887f-437f-9d50-07d5f2891cb6" ] }, { "id" : "ITEM-4", "itemData" : { "DOI" : "10.1016/j.prp.2015.01.007", "ISSN" : "1618-0631", "PMID" : "25724470", "abstract" : "Although selective COX-2 inhibitors have cancer-preventive effects and induce apoptosis, the mechanisms underlying these effects are not fully understood. This study investigated the effects of nimesulide, a selective COX-2 inhibitor, on apoptosis and on the JAK/STAT signaling pathway in Eca-109 human esophageal squamous carcinoma cells. The effects and mechanisms of nimesulide on Eca-109 cell growth were studied in culture and in nude mice with Eca-109 xenografts. Cells were cultured with or without nimesulide and/or the JAK2 inhibitor AG490. Cell proliferation was evaluated using the MTT assay, and apoptosis was investigated. COX-2 mRNA expression was measured using reverse transcription polymerase chain reaction, and protein expression was detected by Western blot analysis, immunohistochemistry, and flow cytometry. Nimesulide significantly inhibited Eca-109 cell viability in vitro in a dose- and time-dependent manner (P&lt;0.05). Nimesulide also induced apoptosis, which was accompanied by a significant decrease in the expression of COX-2 and survivin and an increase in caspase-3 expression. Nimesulide downregulated the phosphorylation levels of JAK2 and STAT3, and JAK2 inhibition by AG490 significantly augmented both nimesulide-induced apoptosis and the downregulation of COX-2 and survivin (P&lt;0.05). In vivo, nimesulide inhibited the growth of Eca-109 tumors and the expression of p-JAK2 and p-STAT3. Thus, nimesulide downregulates COX-2 and survivin expression and upregulates caspase-3 expression in Eca-109 cells, by inactivating the JAK2/STAT3 pathway. These effects may mediate nimesulide-induced apoptosis and growth inhibition in Eca-109 cells in vitro and in vivo.", "author" : [ { "dropping-particle" : "", "family" : "Liu", "given" : "Jun-Ru", "non-dropping-particle" : "", "parse-names" : false, "suffix" : "" }, { "dropping-particle" : "", "family" : "Wu", "given" : "Wen-Juan", "non-dropping-particle" : "", "parse-names" : false, "suffix" : "" }, { "dropping-particle" : "", "family" : "Liu", "given" : "Shu-Xia", "non-dropping-particle" : "", "parse-names" : false, "suffix" : "" }, { "dropping-particle" : "", "family" : "Zuo", "given" : "Lian-Fu", "non-dropping-particle" : "", "parse-names" : false, "suffix" : "" }, { "dropping-particle" : "", "family" : "Wang", "given" : "Yuan", "non-dropping-particle" : "", "parse-names" : false, "suffix" : "" }, { "dropping-particle" : "", "family" : "Yang", "given" : "Jian-Zhu", "non-dropping-particle" : "", "parse-names" : false, "suffix" : "" }, { "dropping-particle" : "", "family" : "Nan", "given" : "Yue-Min", "non-dropping-particle" : "", "parse-names" : false, "suffix" : "" } ], "container-title" : "Pathology, research and practice", "id" : "ITEM-4", "issue" : "6", "issued" : { "date-parts" : [ [ "2015" ] ] }, "page" : "426-434", "publisher" : "Elsevier GmbH.", "title" : "Nimesulide inhibits the growth of human esophageal carcinoma cells by inactivating the JAK2/STAT3 pathway.", "type" : "article-journal", "volume" : "211" }, "uris" : [ "http://www.mendeley.com/documents/?uuid=b523d256-e308-4d2a-9b9b-7a0126db310f" ] }, { "id" : "ITEM-5", "itemData" : { "DOI" : "10.1016/j.ijpharm.2015.07.027", "ISSN" : "03785173", "abstract" : "Nimesulide (NS)-loaded nanoparticles (NPNS) were prepared from polylactide-co-glycolide (PLGA) and eventually coated with chitosan (NPNSCS). Nanoparticles (NP) were spherical with sizes 379\u00b159nm for NPNS and 393\u00b166nm for NPNSCS and zeta potentials of \u221215\u00b13mV for NPNS to 10\u00b14mV for NPNSCS, suggesting an efficient coating. Drug encapsulation rate was high (88\u00b15% and 83\u00b17% of added drug) for NPNS and NPNSCS, respectively. After NP washing and re-suspension, 98\u00b12% and 99\u00b11% of the drug initially entrapped remained associated to NP. NS was dispersed in amorphous state within the polymeric matrix. Two-fold dilution of NP with pH 7.4 PBS provoked no drug release. However, 30\u201340% NS was released after a 1/10 dilution. NPNSCS and NPNS diluted 1/100 reduced the encapsulated drug to around 30% and 70%, respectively. In contrast, 100% NS was released from NP under sink conditions in less than 2h. The permeability of free-NS (1\u20131.5\u00d710\u22125cm/s) was compared with NPNS (NPNS=6.4\u20138.1\u00d710\u22126cm/s and NPNSCS=5.5\u20137.0\u00d710\u22126cm/s) using the PAMPA assay. The cytotoxicity of free-NS and NS in NP on model prostate cancer cells PC-3 and DU-145 showed the highes</w:instrText>
      </w:r>
      <w:r w:rsidR="00B8446D" w:rsidRPr="00FA5ECE">
        <w:rPr>
          <w:lang w:val="sv-SE"/>
        </w:rPr>
        <w:instrText>t cytotoxic effect with NPNSCS on PC-3 cells (IC50=89\u03bcM).", "author" : [ { "dropping-particle" : "", "family" : "Huerta", "given" : "Concepci\u00f3n", "non-dropping-particle" : "", "parse-names" : false, "suffix" : "" }, { "dropping-particle" : "", "family" : "Aberturas", "given" : "Mar\u00eda del Rosario", "non-dropping-particle" : "", "parse-names" : false, "suffix" : "" }, { "dropping-particle" : "", "family" : "Molpeceres", "given" : "Jes\u00fas", "non-dropping-particle" : "", "parse-names" : false, "suffix" : "" } ], "container-title" : "International Journal of Pharmaceutics", "id" : "ITEM-5", "issue" : "1", "issued" : { "date-parts" : [ [ "2015" ] ] }, "page" : "152-160", "title" : "Nimesulide-loaded nanoparticles for the potential coadjuvant treatment of prostate cancer", "type" : "article-journal", "volume" : "493" }, "uris" : [ "http://www.mendeley.com/documents/?uuid=17b3bf65-93a5-39a5-9802-b2be5b2f1a1b" ] } ], "mendeley" : { "formattedCitation" : "(Huerta et al., 2015; Liu et al., 2015; \u00d6zalp et al., 2012; Stolfi et al., 2013; Trask et al., 2004)", "plainTextFormattedCitation" : "(Huerta et al., 2015; Liu et al., 2015; \u00d6zalp et al., 2012; Stolfi et al., 2013; Trask et al., 2004)", "previouslyFormattedCitation" : "(Huerta et al., 2015; Liu et al., 2015; \u00d6zalp et al., 2012; Stolfi et al., 2013; Trask et al., 2004)" }, "properties" : { "noteIndex" : 0 }, "schema" : "https://github.com/citation-style-language/schema/raw/master/csl-citation.json" }</w:instrText>
      </w:r>
      <w:r w:rsidR="006C4E42">
        <w:rPr>
          <w:lang w:val="en-US"/>
        </w:rPr>
        <w:fldChar w:fldCharType="separate"/>
      </w:r>
      <w:r w:rsidR="00B8446D" w:rsidRPr="00FA5ECE">
        <w:rPr>
          <w:noProof/>
          <w:lang w:val="sv-SE"/>
        </w:rPr>
        <w:t>(Huerta et al., 2015; Liu et al., 2015; Özalp et al., 2012; Stolfi et al., 2013; Trask et al., 2004)</w:t>
      </w:r>
      <w:r w:rsidR="006C4E42">
        <w:rPr>
          <w:lang w:val="en-US"/>
        </w:rPr>
        <w:fldChar w:fldCharType="end"/>
      </w:r>
      <w:r w:rsidRPr="00FA5ECE">
        <w:rPr>
          <w:lang w:val="sv-SE"/>
        </w:rPr>
        <w:t xml:space="preserve">. </w:t>
      </w:r>
      <w:r w:rsidR="00330F99" w:rsidRPr="00330F99">
        <w:rPr>
          <w:lang w:val="en-US"/>
        </w:rPr>
        <w:t xml:space="preserve">However, the exact mechanism underlying </w:t>
      </w:r>
      <w:r w:rsidR="00BE379E">
        <w:rPr>
          <w:lang w:val="en-US"/>
        </w:rPr>
        <w:t xml:space="preserve">cancer preventive and cancer therapeutic </w:t>
      </w:r>
      <w:r w:rsidR="00330F99" w:rsidRPr="00330F99">
        <w:rPr>
          <w:lang w:val="en-US"/>
        </w:rPr>
        <w:t>actions of NSAIDs is still largely unknown (Hilovska et al., 2014).</w:t>
      </w:r>
      <w:r w:rsidR="00330F99">
        <w:rPr>
          <w:lang w:val="en-US"/>
        </w:rPr>
        <w:t xml:space="preserve"> Moreover</w:t>
      </w:r>
      <w:r>
        <w:rPr>
          <w:lang w:val="en-US"/>
        </w:rPr>
        <w:t xml:space="preserve">, </w:t>
      </w:r>
      <w:r w:rsidRPr="004C7743">
        <w:rPr>
          <w:lang w:val="en-US"/>
        </w:rPr>
        <w:t xml:space="preserve">considering NSAIDs with other </w:t>
      </w:r>
      <w:r>
        <w:rPr>
          <w:lang w:val="en-US"/>
        </w:rPr>
        <w:t xml:space="preserve">agents </w:t>
      </w:r>
      <w:r w:rsidRPr="00497B06">
        <w:rPr>
          <w:lang w:val="en-US"/>
        </w:rPr>
        <w:t>as a potential adjunctive approach</w:t>
      </w:r>
      <w:r>
        <w:rPr>
          <w:lang w:val="en-US"/>
        </w:rPr>
        <w:t xml:space="preserve"> </w:t>
      </w:r>
      <w:r w:rsidRPr="004C7743">
        <w:rPr>
          <w:lang w:val="en-US"/>
        </w:rPr>
        <w:t xml:space="preserve">for </w:t>
      </w:r>
      <w:r>
        <w:rPr>
          <w:lang w:val="en-US"/>
        </w:rPr>
        <w:t xml:space="preserve">therapy of </w:t>
      </w:r>
      <w:r w:rsidRPr="004C7743">
        <w:rPr>
          <w:lang w:val="en-US"/>
        </w:rPr>
        <w:t xml:space="preserve">neuronopathic forms of </w:t>
      </w:r>
      <w:r>
        <w:rPr>
          <w:lang w:val="en-US"/>
        </w:rPr>
        <w:t>lysosomal storage disorders (LSDs)</w:t>
      </w:r>
      <w:r w:rsidRPr="004C7743">
        <w:rPr>
          <w:lang w:val="en-US"/>
        </w:rPr>
        <w:t xml:space="preserve"> appears reasonable</w:t>
      </w:r>
      <w:r>
        <w:rPr>
          <w:lang w:val="en-US"/>
        </w:rPr>
        <w:t xml:space="preserve"> </w:t>
      </w:r>
      <w:r w:rsidR="006C4E42">
        <w:rPr>
          <w:lang w:val="en-US"/>
        </w:rPr>
        <w:fldChar w:fldCharType="begin" w:fldLock="1"/>
      </w:r>
      <w:r w:rsidR="00B8446D">
        <w:rPr>
          <w:lang w:val="en-US"/>
        </w:rPr>
        <w:instrText>ADDIN CSL_CITATION { "citationItems" : [ { "id" : "ITEM-1", "itemData" : { "DOI" : "10.1016/j.nbd.2009.07.010", "ISSN" : "09699961", "PMID" : "19632328", "abstract" : "Niemann-Pick disease type C1 (NPC1) is a neurodegenerative lysosomal disorder characterized by sphingolipid and cholesterol storage in the late endocytic system. In common with other neurodegenerative diseases, activation of the innate immune system occurs in the brain resulting in neuro-inflammation. Targeting inflammation in the brain therefore represents a potential clinical intervention strategy that aims to slow the rate of disease progression and improve quality of life. We evaluated non-steroidal anti-inflammatory drugs (NSAIDs) and an anti-oxidant to determine whether these agents are disease modifying in an acute mouse model of NPC1. NSAIDs significantly prolonged the lifespan of NPC1 mice and slowed the onset of clinical signs. However, anti-oxidant therapy was of no significant benefit. Combining NSAID therapy with substrate reduction therapy (SRT) resulted in additive benefit. These data suggest that anti-inflammatory therapy may be a useful adjunctive treatment in the clinical management of NPC1, alone or combined with SRT.", "author" : [ { "dropping-particle" : "", "family" : "Smith", "given" : "David", "non-dropping-particle" : "", "parse-names" : false, "suffix" : "" }, { "dropping-particle" : "", "family" : "Wallom", "given" : "Kerri-Lee", "non-dropping-particle" : "", "parse-names" : false, "suffix" : "" }, { "dropping-particle" : "", "family" : "Williams", "given" : "Ian M.", "non-dropping-particle" : "", "parse-names" : false, "suffix" : "" }, { "dropping-particle" : "", "family" : "Jeyakumar", "given" : "Mylvaganam", "non-dropping-particle" : "", "parse-names" : false, "suffix" : "" }, { "dropping-particle" : "", "family" : "Platt", "given" : "Frances M.", "non-dropping-particle" : "", "parse-names" : false, "suffix" : "" } ], "container-title" : "Neurobiology of Disease", "id" : "ITEM-1", "issue" : "2", "issued" : { "date-parts" : [ [ "2009", "11" ] ] }, "page" : "242-251", "title" : "Beneficial effects of anti-inflammatory therapy in a mouse model of Niemann-Pick disease type C1", "type" : "article-journal", "volume" : "36" }, "uris" : [ "http://www.mendeley.com/documents/?uuid=11bbbdde-09d0-3e9c-b226-50ada1fa2e8d" ] }, { "id" : "ITEM-2", "itemData" : { "DOI" : "10.1016/j.nbd.2014.03.001", "ISSN" : "09699961", "PMID" : "24631719", "abstract" : "OBJECTIVES Niemann-Pick disease type C (NPC) is a neurodegenerative lysosomal storage disorder characterised by the storage of multiple lipids, reduced lysosomal calcium levels, impaired late endosome:lysosome fusion and neuroinflammation. NPC is caused by mutations in either of the two genes, NPC1 or NPC2, which are believed to function in a common cellular pathway, the function of which remains unclear. The complexity of the pathogenic cascade in NPC disease provides a number of potential clinical intervention points. To date, drugs that target pivotal stages in the pathogenic cascade have been tested as monotherapies or in combination with a second agent, showing additive or synergistic benefit. In this study, we have investigated whether we can achieve greater therapeutic benefit in the Npc1(-/-) mouse by combining three therapies that each targets unique aspects of the pathogenic cascade. METHODS We have treated Npc1(-/-) mice with miglustat that targets sphingolipid synthesis and storage, curcumin that compensates for the lysosomal calcium defect by elevating cytosolic calcium, and the non-steroidal anti-inflammatory drug ibuprofen to reduce central nervous system inflammation. RESULTS/INTERPRETATION We have found that triple combination therapy has a greater neuroprotective benefit compared with single and dual therapies, increasing the time period that Npc1(-/-) mice maintained body weight and motor function and maximally delaying the onset of Purkinje cell loss. In addition, ibuprofen selectively reduced microglial activation, while curcumin had no anti-inflammatory effects, indicating differential mechanisms of action for these two therapies. When taken together, these results demonstrate that targeting multiple unique steps in the pathogenic cascade maximises the clinical benefit in a mouse model of NPC1 disease.", "author" : [ { "dropping-particle" : "", "family" : "Williams", "given" : "Ian M.", "non-dropping-particle" : "", "parse-names" : false, "suffix" : "" }, { "dropping-particle" : "", "family" : "Wallom", "given" : "Kerri-Lee", "non-dropping-particle" : "", "parse-names" : false, "suffix" : "" }, { "dropping-particle" : "", "family" : "Smith", "given" : "David A.", "non-dropping-particle" : "", "parse-names" : false, "suffix" : "" }, { "dropping-particle" : "", "family" : "Eisa", "given" : "Nada", "non-dropping-particle" : "Al", "parse-names" : false, "suffix" : "" }, { "dropping-particle" : "", "family" : "Smith", "given" : "Claire", "non-dropping-particle" : "", "parse-names" : false, "suffix" : "" }, { "dropping-particle" : "", "family" : "Platt", "given" : "Frances M.", "non-dropping-particle" : "", "parse-names" : false, "suffix" : "" } ], "container-title" : "Neurobiology of Disease", "id" : "ITEM-2", "issued" : { "date-parts" : [ [ "2014", "7" ] ] }, "page" : "9-17", "title" : "Improved neuroprotection using miglustat, curcumin and ibuprofen as a triple combination therapy in Niemann\u2013Pick disease type C1 mice", "type" : "article-journal", "volume" : "67" }, "uris" : [ "http://www.mendeley.com/documents/?uuid=18ce06ef-fb8d-3f6c-9131-d16da2ab1039" ] }, { "id" : "ITEM-3", "itemData" : { "DOI" : "10.1002/ana.20242", "ISSN" : "0364-5134", "PMID" : "15505823", "abstract" : "The GM2 gangliosidoses are caused by incomplete catabolism of GM2 ganglioside in the lysosome, leading to progressive storage and a neurodegenerative clinical course. An inflammatory response (microglial activation, macrophage infiltration, oxidative damage) has been found to be a consequence of GM2 storage in the brain, although it remains unclear whether this contributes to pathogenesis or disease progression. In this study, we treated Sandhoff disease mice with nonsteroidal antiinflammatory drugs (indomethacin, aspirin, and ibuprofen) and antioxidants (L-ascorbic acid and alpha-tocopherol acetate). The treated mice lived significantly longer than untreated littermates (12-23%, p &lt;0.0001) and showed a slower rate of disease progression (p &lt;0.001). When aspirin treatment was combined with substrate reduction therapy, synergy resulted (11%, p &lt;0.05) with a maximum improvement of 73% in survival (p &lt;0.00001). This study demonstrates that inflammation contributes to disease progression and identifies antiinflammatory and antioxidant therapies as a potential adjunctive approach to slow the clinical course of this and related disorders.", "author" : [ { "dropping-particle" : "", "family" : "Jeyakumar", "given" : "Mylvaganam", "non-dropping-particle" : "", "parse-names" : false, "suffix" : "" }, { "dropping-particle" : "", "family" : "Smith", "given" : "David A.", "non-dropping-particle" : "", "parse-names" : false, "suffix" : "" }, { "dropping-particle" : "", "family" : "Williams", "given" : "Ian M.", "non-dropping-particle" : "", "parse-names" : false, "suffix" : "" }, { "dropping-particle" : "", "family" : "Borja", "given" : "Mario Cortina", "non-dropping-particle" : "", "parse-names" : false, "suffix" : "" }, { "dropping-particle" : "", "family" : "Neville", "given" : "David C. A.", "non-dropping-particle" : "", "parse-names" : false, "suffix" : "" }, { "dropping-particle" : "", "family" : "Butters", "given" : "Terry D.", "non-dropping-particle" : "", "parse-names" : false, "suffix" : "" }, { "dropping-particle" : "", "family" : "Dwek", "given" : "Raymond A.", "non-dropping-particle" : "", "parse-names" : false, "suffix" : "" }, { "dropping-particle" : "", "family" : "Platt", "given" : "Frances M.", "non-dropping-particle" : "", "parse-names" : false, "suffix" : "" } ], "container-title" : "Annals of Neurology", "id" : "ITEM-3", "issue" : "5", "issued" : { "date-parts" : [ [ "2004", "11" ] ] }, "page" : "642-649", "title" : "NSAIDs increase survival in the Sandhoff disease mouse: Synergy withN-butyldeoxynojirimycin", "type" : "article-journal", "volume" : "56" }, "uris" : [ "http://www.mendeley.com/documents/?uuid=c33e643e-ca9c-3c84-b422-0670cbaef6d6" ] }, { "id" : "ITEM-4", "itemData" : { "DOI" : "10.1038/srep43154", "ISSN" : "2045-2322", "PMID" : "28240227", "abstract" : "In this report, selected non-steroidal anti-inflammatory drugs (NSAIDs), indomethacin and nimesulide, and analgesics acetaminophen, alone, as well as in combination with isoflavone genistein as potential glycosaminoglycan (GAG) metabolism modulators were considered for the treatment of mucopolysaccharidoses (MPSs) with neurological symptoms due to the effective blood-brain barrier (BBB) penetration properties of these compounds. We found that indomethacin and nimesulide, but not acetaminophen, inhibited GAG synthesis in fibroblasts significantly, while the most pronounced impairment of glycosaminoglycan production was observed after exposure to the mixture of nimesulide and genistein. Phosphorylation of the EGF receptor (EGFR) was inhibited even more effective in the presence of indomethacin and nimesulide than in the presence of genistein. When examined the activity of phosphatidylinositol-3-kinase (PI3K) production, we observed its most significant decrease in the case of fibroblast exposition to nimesulide, and afterwards to indomethacin and genistein mix, rather than indomethacin used alone. Some effects on expression of individual GAG metabolism-related and lysosomal function genes, and significant activity modulation of a number of genes involved in intracellular signal transduction pathways and metabolism of DNA and proteins were detected. This study documents that NSAIDs, and their mixtures with genistein modulate cellular glycosaminoglycan synthesis by affecting EGFR and PI3K signaling pathways.", "author" : [ { "dropping-particle" : "", "family" : "Mozolewski", "given" : "Pawe\u0142", "non-dropping-particle" : "", "parse-names" : false, "suffix" : "" }, { "dropping-particle" : "", "family" : "Moskot", "given" : "Marta", "non-dropping-particle" : "", "parse-names" : false, "suffix" : "" }, { "dropping-particle" : "", "family" : "Jak\u00f3bkiewicz-Banecka", "given" : "Joanna", "non-dropping-particle" : "", "parse-names" : false, "suffix" : "" }, { "dropping-particle" : "", "family" : "W\u0119grzyn", "given" : "Grzegorz", "non-dropping-particle" : "", "parse-names" : false, "suffix" : "" }, { "dropping-particle" : "", "family" : "Boche\u0144ska", "given" : "Katarzyna", "non-dropping-particle" : "", "parse-names" : false, "suffix" : "" }, { "dropping-particle" : "", "family" : "Banecki", "given" : "Bogdan", "non-dropping-particle" : "", "parse-names" : false, "suffix" : "" }, { "dropping-particle" : "", "family" : "Gabig-Cimi\u0144ska", "given" : "Magdalena", "non-dropping-particle" : "", "parse-names" : false, "suffix" : "" } ], "container-title" : "Scientific Reports", "id" : "ITEM-4", "issued" : { "date-parts" : [ [ "2017", "2", "27" ] ] }, "page" : "43154", "title" : "Nonsteroidal anti-inflammatory drugs modulate cellular glycosaminoglycan synthesis by affecting EGFR and PI3K signaling pathways", "type" : "article-journal", "volume" : "7" }, "uris" : [ "http://www.mendeley.com/documents/?uuid=bfbdee63-ccac-3591-bef6-6d50f68b8d8b" ] } ], "mendeley" : { "formattedCitation" : "(Jeyakumar et al., 2004; Mozolewski et al., 2017; Smith et al., 2009; Williams et al., 2014)", "plainTextFormattedCitation" : "(Jeyakumar et al., 2004; Mozolewski et al., 2017; Smith et al., 2009; Williams et al., 2014)", "previouslyFormattedCitation" : "(Jeyakumar et al., 2004; Mozolewski et al., 2017; Smith et al., 2009; Williams et al., 2014)" }, "properties" : { "noteIndex" : 0 }, "schema" : "https://github.com/citation-style-language/schema/raw/master/csl-citation.json" }</w:instrText>
      </w:r>
      <w:r w:rsidR="006C4E42">
        <w:rPr>
          <w:lang w:val="en-US"/>
        </w:rPr>
        <w:fldChar w:fldCharType="separate"/>
      </w:r>
      <w:r w:rsidR="00B8446D" w:rsidRPr="00B8446D">
        <w:rPr>
          <w:noProof/>
          <w:lang w:val="en-US"/>
        </w:rPr>
        <w:t>(Jeyakumar et al., 2004; Mozolewski et al., 2017; Smith et al., 2009; Williams et al., 2014)</w:t>
      </w:r>
      <w:r w:rsidR="006C4E42">
        <w:rPr>
          <w:lang w:val="en-US"/>
        </w:rPr>
        <w:fldChar w:fldCharType="end"/>
      </w:r>
      <w:r w:rsidRPr="004C7743">
        <w:rPr>
          <w:lang w:val="en-US"/>
        </w:rPr>
        <w:t xml:space="preserve">. </w:t>
      </w:r>
    </w:p>
    <w:p w:rsidR="00FD1E7C" w:rsidRDefault="00FD1E7C" w:rsidP="00C52FD0">
      <w:pPr>
        <w:spacing w:line="480" w:lineRule="auto"/>
        <w:ind w:firstLine="708"/>
        <w:rPr>
          <w:lang w:val="en-US"/>
        </w:rPr>
      </w:pPr>
      <w:r>
        <w:rPr>
          <w:lang w:val="en-US"/>
        </w:rPr>
        <w:t>So far, t</w:t>
      </w:r>
      <w:r w:rsidRPr="00B71A80">
        <w:rPr>
          <w:lang w:val="en-US"/>
        </w:rPr>
        <w:t xml:space="preserve">he results from transcriptomic studies </w:t>
      </w:r>
      <w:r>
        <w:rPr>
          <w:lang w:val="en-US"/>
        </w:rPr>
        <w:t>reported in the literature concern</w:t>
      </w:r>
      <w:r w:rsidRPr="00B71A80">
        <w:rPr>
          <w:lang w:val="en-US"/>
        </w:rPr>
        <w:t xml:space="preserve"> mostly human cancer cells treated with a high (typically used in preclinical studies) </w:t>
      </w:r>
      <w:r>
        <w:rPr>
          <w:lang w:val="en-US"/>
        </w:rPr>
        <w:t xml:space="preserve">doses </w:t>
      </w:r>
      <w:r w:rsidR="00BE379E">
        <w:rPr>
          <w:lang w:val="en-US"/>
        </w:rPr>
        <w:t>of cyclooxygenases</w:t>
      </w:r>
      <w:r w:rsidRPr="00B71A80">
        <w:rPr>
          <w:lang w:val="en-US"/>
        </w:rPr>
        <w:t xml:space="preserve"> inhibitors. Currently, little is known regarding the effects of NSAIDs on global RNA expression in </w:t>
      </w:r>
      <w:r w:rsidRPr="00F541BC">
        <w:rPr>
          <w:lang w:val="en-US"/>
        </w:rPr>
        <w:t xml:space="preserve">normal, non-transformed </w:t>
      </w:r>
      <w:r>
        <w:rPr>
          <w:lang w:val="en-US"/>
        </w:rPr>
        <w:t>cells</w:t>
      </w:r>
      <w:r w:rsidRPr="00B71A80">
        <w:rPr>
          <w:lang w:val="en-US"/>
        </w:rPr>
        <w:t xml:space="preserve">. </w:t>
      </w:r>
      <w:r>
        <w:rPr>
          <w:lang w:val="en-US"/>
        </w:rPr>
        <w:t xml:space="preserve">Therefore, </w:t>
      </w:r>
      <w:r w:rsidRPr="00B71A80">
        <w:rPr>
          <w:lang w:val="en-US"/>
        </w:rPr>
        <w:t xml:space="preserve">the purpose of this study was to examine the </w:t>
      </w:r>
      <w:r>
        <w:rPr>
          <w:lang w:val="en-US"/>
        </w:rPr>
        <w:t>effect of COX-</w:t>
      </w:r>
      <w:r w:rsidRPr="00FA5ECE">
        <w:rPr>
          <w:lang w:val="en-US"/>
        </w:rPr>
        <w:t>nonspecific and COX-2-specific inhibitors, indomethacin (</w:t>
      </w:r>
      <w:r w:rsidR="00C110D2" w:rsidRPr="00FA5ECE">
        <w:rPr>
          <w:lang w:val="en-US"/>
        </w:rPr>
        <w:t>2-[1-(4-chlorobenzoyl)-5-methoxy-2-methylindol-3-yl]acetic acid</w:t>
      </w:r>
      <w:r w:rsidRPr="00FA5ECE">
        <w:rPr>
          <w:lang w:val="en-US"/>
        </w:rPr>
        <w:t xml:space="preserve">) and nimesulide </w:t>
      </w:r>
      <w:r w:rsidR="00C110D2" w:rsidRPr="00FA5ECE">
        <w:rPr>
          <w:lang w:val="en-US"/>
        </w:rPr>
        <w:t xml:space="preserve">(N-[4-nitro-2-phenoxyphenyl]-methanesulfonamide) </w:t>
      </w:r>
      <w:r w:rsidR="009A5656" w:rsidRPr="00FA5ECE">
        <w:rPr>
          <w:lang w:val="en-US"/>
        </w:rPr>
        <w:t>respectively</w:t>
      </w:r>
      <w:r w:rsidR="009A5656">
        <w:rPr>
          <w:lang w:val="en-US"/>
        </w:rPr>
        <w:t xml:space="preserve">. </w:t>
      </w:r>
      <w:r w:rsidRPr="00B71A80">
        <w:rPr>
          <w:lang w:val="en-US"/>
        </w:rPr>
        <w:t>The concentrations of indomethacin (2 and 10 µm</w:t>
      </w:r>
      <w:r>
        <w:rPr>
          <w:lang w:val="en-US"/>
        </w:rPr>
        <w:t>ol/l) and nimesulide (5 and 25 µmol/l</w:t>
      </w:r>
      <w:r w:rsidRPr="00B71A80">
        <w:rPr>
          <w:lang w:val="en-US"/>
        </w:rPr>
        <w:t>) used</w:t>
      </w:r>
      <w:r>
        <w:rPr>
          <w:lang w:val="en-US"/>
        </w:rPr>
        <w:t xml:space="preserve"> in this work</w:t>
      </w:r>
      <w:r w:rsidRPr="00B71A80">
        <w:rPr>
          <w:lang w:val="en-US"/>
        </w:rPr>
        <w:t xml:space="preserve"> are close to clinically relevant molar </w:t>
      </w:r>
      <w:r>
        <w:rPr>
          <w:lang w:val="en-US"/>
        </w:rPr>
        <w:t xml:space="preserve">doses </w:t>
      </w:r>
      <w:r w:rsidR="006C4E42">
        <w:rPr>
          <w:lang w:val="en-US"/>
        </w:rPr>
        <w:fldChar w:fldCharType="begin" w:fldLock="1"/>
      </w:r>
      <w:r w:rsidR="00B8446D">
        <w:rPr>
          <w:lang w:val="en-US"/>
        </w:rPr>
        <w:instrText>ADDIN CSL_CITATION { "citationItems" : [ { "id" : "ITEM-1", "itemData" : { "DOI" : "10.1007/s003930050161", "ISSN" : "0340-1855", "author" : [ { "dropping-particle" : "", "family" : "Dingle", "given" : "J. T.", "non-dropping-particle" : "", "parse-names" : false, "suffix" : "" } ], "container-title" : "Zeitschrift fur Rheumatologie", "id" : "ITEM-1", "issue" : "3", "issued" : { "date-parts" : [ [ "1999", "6", "30" ] ] }, "page" : "125-129", "publisher" : "Steinkopff Verlag", "title" : "The effects of NSAID on the matrix of human articular cartilages", "type" : "article-journal", "volume" : "58" }, "uris" : [ "http://www.mendeley.com/documents/?uuid=206ae295-f780-3672-92f3-8c66da2903ec" ] }, { "id" : "ITEM-2", "itemData" : { "DOI" : "10.1152/ajpgi.00537.2003", "ISSN" : "0193-1857", "PMID" : "15246970", "abstract" : "VEGF is a highly specific stimulator of endothelial cells and may play an important role in angiogenesis in the process of tissue regeneration. We previously showed that cyclooxygenase-2 (COX-2) expressed in mesenchymal cells of the ulcer bed is involved in the ulcer repair process. To clarify the role of COX-2 in angiogenesis during gastric ulcer healing, we investigated the relation between COX-2 expression and VEGF production in human gastric fibroblasts in vivo and in vitro. Gastric fibroblasts were cultured in RPMI 1640 with and without IL-1alpha or IL-1beta in the presence or absence of NS-398, a selective COX-2 inhibitor. Supernatant VEGF and PGE(2) concentrations were measured by enzyme-linked immunosorbent assay. COX-2 expression in fibroblasts was determined by Western blot analysis. VEGF and COX-2 expression in surgical resections of human gastric ulcer tissue was examined immunohistochemically. IL-1 dose dependently enhanced VEGF release in cultured gastric fibroblasts after a 24-h stimulation. IL-1 also stimulated PGE(2) production in gastric fibroblasts via COX-2 induction. NS-398 significantly suppressed VEGF and PGE(2) release from IL-1-stimulated gastric fibroblasts; concurrent addition of PGE(2) restored NS-398-inhibited VEGF release. COX-2 and VEGF immunoreactivity were colocalized in fibroblast-like cells in the ulcer bed of gastric tissues. These results suggest that COX-2 plays a key role in VEGF production in gastric fibroblasts stimulated by IL-1 in vitro and that angiogenesis induced by the COX-2-VEGF pathway might be involved in gastric ulcer healing.", "author" : [ { "dropping-particle" : "", "family" : "Miura", "given" : "S.", "non-dropping-particle" : "", "parse-names" : false, "suffix" : "" }, { "dropping-particle" : "", "family" : "Tatsuguchi", "given" : "Atsushi", "non-dropping-particle" : "", "parse-names" : false, "suffix" : "" }, { "dropping-particle" : "", "family" : "Wada", "given" : "Ken", "non-dropping-particle" : "", "parse-names" : false, "suffix" : "" }, { "dropping-particle" : "", "family" : "Takeyama", "given" : "Hiroki", "non-dropping-particle" : "", "parse-names" : false, "suffix" : "" }, { "dropping-particle" : "", "family" : "Shinji", "given" : "Yoko", "non-dropping-particle" : "", "parse-names" : false, "suffix" : "" }, { "dropping-particle" : "", "family" : "Hiratsuka", "given" : "Tetsuro", "non-dropping-particle" : "", "parse-names" : false, "suffix" : "" }, { "dropping-particle" : "", "family" : "Futagami", "given" : "Seiji", "non-dropping-particle" : "", "parse-names" : false, "suffix" : "" }, { "dropping-particle" : "", "family" : "Miyake", "given" : "Kazumasa", "non-dropping-particle" : "", "parse-names" : false, "suffix" : "" }, { "dropping-particle" : "", "family" : "Gudis", "given" : "Katya", "non-dropping-particle" : "", "parse-names" : false, "suffix" : "" }, { "dropping-particle" : "", "family" : "Mizokami", "given" : "Yuji", "non-dropping-particle" : "", "parse-names" : false, "suffix" : "" }, { "dropping-particle" : "", "family" : "Matsuoka", "given" : "Takeshi", "non-dropping-particle" : "", "parse-names" : false, "suffix" : "" }, { "dropping-particle" : "", "family" : "Sakamoto", "given" : "Choitsu", "non-dropping-particle" : "", "parse-names" : false, "suffix" : "" } ], "container-title" : "AJP: Gastrointestinal and Liver Physiology", "id" : "ITEM-2", "issue" : "2", "issued" : { "date-parts" : [ [ "2004", "8", "1" ] ] }, "page" : "G444-G451", "title" : "Cyclooxygenase-2-regulated vascular endothelial growth factor release in gastric fibroblasts", "type" : "article-journal", "volume" : "287" }, "uris" : [ "http://www.mendeley.com/documents/?uuid=b77a1eb7-79b3-3346-8f65-f20421105485" ] }, { "id" : "ITEM-3", "itemData" : { "DOI" : "10.1016/j.prp.2015.01.007", "ISSN" : "1618-0631", "PMID" : "25724470", "abstract" : "Although selective COX-2 inhibitors have cancer-preventive effects and induce apoptosis, the mechanisms underlying these effects are not fully understood. This study investigated the effects of nimesulide, a selective COX-2 inhibitor, on apoptosis and on the JAK/STAT signaling pathway in Eca-109 human esophageal squamous carcinoma cells. The effects and mechanisms of nimesulide on Eca-109 cell growth were studied in culture and in nude mice with Eca-109 xenografts. Cells were cultured with or without nimesulide and/or the JAK2 inhibitor AG490. Cell proliferation was evaluated using the MTT assay, and apoptosis was investigated. COX-2 mRNA expression was measured using reverse transcription polymerase chain reaction, and protein expression was detected by Western blot analysis, immunohistochemistry, and flow cytometry. Nimesulide significantly inhibited Eca-109 cell viability in vitro in a dose- and time-dependent manner (P&lt;0.05). Nimesulide also induced apoptosis, which was accompanied by a significant decrease in the expression of COX-2 and survivin and an increase in caspase-3 expression. Nimesulide downregulated the phosphorylation levels of JAK2 and STAT3, and JAK2 inhibition by AG490 significantly augmented both nimesulide-induced apoptosis and the downregulation of COX-2 and survivin (P&lt;0.05). In vivo, nimesulide inhibited the growth of Eca-109 tumors and the expression of p-JAK2 and p-STAT3. Thus, nimesulide downregulates COX-2 and survivin expression and upregulates caspase-3 expression in Eca-109 cells, by inactivating the JAK2/STAT3 pathway. These effects may mediate nimesulide-induced apoptosis and growth inhibition in Eca-109 cells in vitro and in vivo.", "author" : [ { "dropping-particle" : "", "family" : "Liu", "given" : "Jun-Ru", "non-dropping-particle" : "", "parse-names" : false, "suffix" : "" }, { "dropping-particle" : "", "family" : "Wu", "given" : "Wen-Juan", "non-dropping-particle" : "", "parse-names" : false, "suffix" : "" }, { "dropping-particle" : "", "family" : "Liu", "given" : "Shu-Xia", "non-dropping-particle" : "", "parse-names" : false, "suffix" : "" }, { "dropping-particle" : "", "family" : "Zuo", "given" : "Lian-Fu", "non-dropping-particle" : "", "parse-names" : false, "suffix" : "" }, { "dropping-particle" : "", "family" : "Wang", "given" : "Yuan", "non-dropping-particle" : "", "parse-names" : false, "suffix" : "" }, { "dropping-particle" : "", "family" : "Yang", "given" : "Jian-Zhu", "non-dropping-particle" : "", "parse-names" : false, "suffix" : "" }, { "dropping-particle" : "", "family" : "Nan", "given" : "Yue-Min", "non-dropping-particle" : "", "parse-names" : false, "suffix" : "" } ], "container-title" : "Pathology, research and practice", "id" : "ITEM-3", "issue" : "6", "issued" : { "date-parts" : [ [ "2015" ] ] }, "page" : "426-434", "publisher" : "Elsevier GmbH.", "title" : "Nimesulide inhibits the growth of human esophageal carcinoma cells by inactivating the JAK2/STAT3 pathway.", "type" : "article-journal", "volume" : "211" }, "uris" : [ "http://www.mendeley.com/documents/?uuid=b523d256-e308-4d2a-9b9b-7a0126db310f" ] } ], "mendeley" : { "formattedCitation" : "(Dingle, 1999; Liu et al., 2015; Miura et al., 2004)", "plainTextFormattedCitation" : "(Dingle, 1999; Liu et al., 2015; Miura et al., 2004)", "previouslyFormattedCitation" : "(Dingle, 1999; Liu et al., 2015; Miura et al., 2004)" }, "properties" : { "noteIndex" : 0 }, "schema" : "https://github.com/citation-style-language/schema/raw/master/csl-citation.json" }</w:instrText>
      </w:r>
      <w:r w:rsidR="006C4E42">
        <w:rPr>
          <w:lang w:val="en-US"/>
        </w:rPr>
        <w:fldChar w:fldCharType="separate"/>
      </w:r>
      <w:r w:rsidR="00B8446D" w:rsidRPr="00B8446D">
        <w:rPr>
          <w:noProof/>
          <w:lang w:val="en-US"/>
        </w:rPr>
        <w:t>(Dingle, 1999; Liu et al., 2015; Miura et al., 2004)</w:t>
      </w:r>
      <w:r w:rsidR="006C4E42">
        <w:rPr>
          <w:lang w:val="en-US"/>
        </w:rPr>
        <w:fldChar w:fldCharType="end"/>
      </w:r>
      <w:r w:rsidRPr="00D7717F">
        <w:rPr>
          <w:lang w:val="en-US"/>
        </w:rPr>
        <w:t xml:space="preserve">. </w:t>
      </w:r>
      <w:r w:rsidR="009A5656">
        <w:rPr>
          <w:lang w:val="en-US"/>
        </w:rPr>
        <w:t>W</w:t>
      </w:r>
      <w:r w:rsidRPr="00B71A80">
        <w:rPr>
          <w:lang w:val="en-US"/>
        </w:rPr>
        <w:t>e used transcriptomic</w:t>
      </w:r>
      <w:r>
        <w:rPr>
          <w:lang w:val="en-US"/>
        </w:rPr>
        <w:t xml:space="preserve"> </w:t>
      </w:r>
      <w:r w:rsidRPr="00B71A80">
        <w:rPr>
          <w:lang w:val="en-US"/>
        </w:rPr>
        <w:t xml:space="preserve">approach to examine </w:t>
      </w:r>
      <w:r>
        <w:rPr>
          <w:lang w:val="en-US"/>
        </w:rPr>
        <w:t xml:space="preserve">global </w:t>
      </w:r>
      <w:r w:rsidRPr="00B71A80">
        <w:rPr>
          <w:lang w:val="en-US"/>
        </w:rPr>
        <w:t>gene expression</w:t>
      </w:r>
      <w:r>
        <w:rPr>
          <w:lang w:val="en-US"/>
        </w:rPr>
        <w:t xml:space="preserve"> changes</w:t>
      </w:r>
      <w:r w:rsidRPr="00B71A80">
        <w:rPr>
          <w:lang w:val="en-US"/>
        </w:rPr>
        <w:t>, as well as cell viabili</w:t>
      </w:r>
      <w:r>
        <w:rPr>
          <w:lang w:val="en-US"/>
        </w:rPr>
        <w:t>ty and proliferation test</w:t>
      </w:r>
      <w:r w:rsidRPr="00B71A80">
        <w:rPr>
          <w:lang w:val="en-US"/>
        </w:rPr>
        <w:t xml:space="preserve"> to study development of ﬁbroblasts exposed to</w:t>
      </w:r>
      <w:r>
        <w:rPr>
          <w:lang w:val="en-US"/>
        </w:rPr>
        <w:t xml:space="preserve"> </w:t>
      </w:r>
      <w:r w:rsidRPr="00B71A80">
        <w:rPr>
          <w:lang w:val="en-US"/>
        </w:rPr>
        <w:t>different concentrations of tested compounds.</w:t>
      </w:r>
      <w:r>
        <w:rPr>
          <w:lang w:val="en-US"/>
        </w:rPr>
        <w:t xml:space="preserve"> We also analyzed cell cycle to investigate whether tested drugs can change </w:t>
      </w:r>
      <w:r w:rsidRPr="00D30780">
        <w:rPr>
          <w:color w:val="000000"/>
          <w:shd w:val="clear" w:color="auto" w:fill="FFFFFF"/>
          <w:lang w:val="en-US"/>
        </w:rPr>
        <w:t>DNA content</w:t>
      </w:r>
      <w:r>
        <w:rPr>
          <w:lang w:val="en-US"/>
        </w:rPr>
        <w:t xml:space="preserve"> in </w:t>
      </w:r>
      <w:r w:rsidR="009B20E0">
        <w:rPr>
          <w:lang w:val="en-US"/>
        </w:rPr>
        <w:t>human dermal fibroblasts</w:t>
      </w:r>
      <w:r>
        <w:rPr>
          <w:lang w:val="en-US"/>
        </w:rPr>
        <w:t xml:space="preserve">. Moreover, we </w:t>
      </w:r>
      <w:r w:rsidRPr="008E4F80">
        <w:rPr>
          <w:lang w:val="en-US"/>
        </w:rPr>
        <w:t>test</w:t>
      </w:r>
      <w:r>
        <w:rPr>
          <w:lang w:val="en-US"/>
        </w:rPr>
        <w:t>ed</w:t>
      </w:r>
      <w:r w:rsidRPr="008E4F80">
        <w:rPr>
          <w:lang w:val="en-US"/>
        </w:rPr>
        <w:t xml:space="preserve"> whether </w:t>
      </w:r>
      <w:r>
        <w:rPr>
          <w:lang w:val="en-US"/>
        </w:rPr>
        <w:t xml:space="preserve">the </w:t>
      </w:r>
      <w:r w:rsidRPr="008E4F80">
        <w:rPr>
          <w:lang w:val="en-US"/>
        </w:rPr>
        <w:t>cell cycle is affected</w:t>
      </w:r>
      <w:r w:rsidRPr="00423D35">
        <w:rPr>
          <w:lang w:val="en-US"/>
        </w:rPr>
        <w:t xml:space="preserve"> after treatment with selected NSAIDs</w:t>
      </w:r>
      <w:r w:rsidRPr="008E4F80">
        <w:rPr>
          <w:lang w:val="en-US"/>
        </w:rPr>
        <w:t xml:space="preserve"> </w:t>
      </w:r>
      <w:r w:rsidRPr="00F7179F">
        <w:rPr>
          <w:lang w:val="en-US"/>
        </w:rPr>
        <w:t>in c</w:t>
      </w:r>
      <w:r w:rsidR="009A5656">
        <w:rPr>
          <w:lang w:val="en-US"/>
        </w:rPr>
        <w:t xml:space="preserve">ells of patients suffering from </w:t>
      </w:r>
      <w:r w:rsidRPr="00F7179F">
        <w:rPr>
          <w:lang w:val="en-US"/>
        </w:rPr>
        <w:t>mucopolysaccharidoses</w:t>
      </w:r>
      <w:r>
        <w:rPr>
          <w:lang w:val="en-US"/>
        </w:rPr>
        <w:t xml:space="preserve"> (MPS), according to </w:t>
      </w:r>
      <w:r w:rsidRPr="008E4F80">
        <w:rPr>
          <w:lang w:val="en-US"/>
        </w:rPr>
        <w:t>recent studies</w:t>
      </w:r>
      <w:r>
        <w:rPr>
          <w:lang w:val="en-US"/>
        </w:rPr>
        <w:t xml:space="preserve"> concerning specific disturbances in the cell cycle of MPS</w:t>
      </w:r>
      <w:r w:rsidRPr="0089486D">
        <w:rPr>
          <w:lang w:val="en-US"/>
        </w:rPr>
        <w:t xml:space="preserve"> type II fibroblasts</w:t>
      </w:r>
      <w:r w:rsidRPr="00423D35">
        <w:rPr>
          <w:lang w:val="en-US"/>
        </w:rPr>
        <w:t xml:space="preserve"> </w:t>
      </w:r>
      <w:r w:rsidR="006C4E42">
        <w:rPr>
          <w:lang w:val="en-US"/>
        </w:rPr>
        <w:fldChar w:fldCharType="begin" w:fldLock="1"/>
      </w:r>
      <w:r w:rsidR="00B8446D">
        <w:rPr>
          <w:lang w:val="en-US"/>
        </w:rPr>
        <w:instrText>ADDIN CSL_CITATION { "citationItems" : [ { "id" : "ITEM-1", "itemData" : { "DOI" : "10.1016/j.gene.2016.03.029", "ISBN" : "0378-1119", "ISSN" : "18790038", "PMID" : "27016302", "abstract" : "Mucopolysaccharidoses (MPSs) are inherited metabolic diseases caused by mutations resulting in deficiency of one of enzymes involved in degradation of glycosaminoglycans (GAGs). These compounds accumulate in cells causing their dysfunctions. Genistein is a molecule previously found to both modify GAG metabolism and modulate cell cycle. Therefore, we investigated whether the cell cycle is affected in MPS cells and if genistein can influence this process. Fibroblasts derived from patients suffering from MPS types I, II, IIIA and IIIB, as well as normal human fibroblasts (the HDFa cell line) were investigated. MTT assay was used for determination of cell proliferation, and the cell cycle was analyzed by using the MUSE?? Cell Analyzer. While effects of genistein on cell proliferation were similar in both normal and MPS fibroblasts, fractions of cells in the G0/G1 phase were higher, and number of cells entering the S and G2/M phases was considerably lower in MPS II fibroblasts relative to control cells. Somewhat similar tendency, though significantly less pronounced, could be noted in MPS I, but only at longer times of incubation. However, this was not observed in MPS IIIA and MPS IIIB fibroblasts. Genistein (5, 7-dihydroxy-3-(4-hydroxyphenyl)-4H-1-benzopyran-4-one) was found to be able to partially correct the disturbances in the MPS II cell cycle, and to some extent in MPS I, at higher concentrations of this compound. The tendency to increase the fractions of cells entering the S and G2/M phases was also observed in MPS IIIA and IIIB fibroblasts treated with genistein. In conclusion, this is the first report indicating that the cell cycle can be impaired in MPS cells. The finding that genistein can improve the MPS II (and to some extent also MPS I) cell cycle provides an input to our knowledge on the molecular mechanisms of action of this compound.", "author" : [ { "dropping-particle" : "", "family" : "Moskot", "given" : "Marta", "non-dropping-particle" : "", "parse-names" : false, "suffix" : "" }, { "dropping-particle" : "", "family" : "Gabig-Cimi\u0144ska", "given" : "Magdalena", "non-dropping-particle" : "", "parse-names" : false, "suffix" : "" }, { "dropping-particle" : "", "family" : "Jak\u00f3bkiewicz-Banecka", "given" : "Joanna", "non-dropping-particle" : "", "parse-names" : false, "suffix" : "" }, { "dropping-particle" : "", "family" : "Wesi\u0119rska", "given" : "Magdalena", "non-dropping-particle" : "", "parse-names" : false, "suffix" : "" }, { "dropping-particle" : "", "family" : "Boche\u0144ska", "given" : "Katarzyna", "non-dropping-particle" : "", "parse-names" : false, "suffix" : "" }, { "dropping-particle" : "", "family" : "W\u0119grzyn", "given" : "Grzegorz", "non-dropping-particle" : "", "parse-names" : false, "suffix" : "" } ], "container-title" : "Gene", "id" : "ITEM-1", "issue" : "1", "issued" : { "date-parts" : [ [ "2016" ] ] }, "page" : "100-103", "title" : "Cell cycle is disturbed in mucopolysaccharidosis type II fibroblasts, and can be improved by genistein", "type" : "article-journal", "volume" : "585" }, "uris" : [ "http://www.mendeley.com/documents/?uuid=0b38436d-cecd-4a65-93d0-184088a514a7" ] } ], "mendeley" : { "formattedCitation" : "(Moskot et al., 2016)", "plainTextFormattedCitation" : "(Moskot et al., 2016)", "previouslyFormattedCitation" : "(Moskot et al., 2016)" }, "properties" : { "noteIndex" : 0 }, "schema" : "https://github.com/citation-style-language/schema/raw/master/csl-citation.json" }</w:instrText>
      </w:r>
      <w:r w:rsidR="006C4E42">
        <w:rPr>
          <w:lang w:val="en-US"/>
        </w:rPr>
        <w:fldChar w:fldCharType="separate"/>
      </w:r>
      <w:r w:rsidR="00B8446D" w:rsidRPr="00B8446D">
        <w:rPr>
          <w:noProof/>
          <w:lang w:val="en-US"/>
        </w:rPr>
        <w:t>(Moskot et al., 2016)</w:t>
      </w:r>
      <w:r w:rsidR="006C4E42">
        <w:rPr>
          <w:lang w:val="en-US"/>
        </w:rPr>
        <w:fldChar w:fldCharType="end"/>
      </w:r>
      <w:r>
        <w:rPr>
          <w:lang w:val="en-US"/>
        </w:rPr>
        <w:t>.</w:t>
      </w:r>
    </w:p>
    <w:p w:rsidR="00FD1E7C" w:rsidRDefault="00FD1E7C" w:rsidP="0057244E">
      <w:pPr>
        <w:spacing w:line="480" w:lineRule="auto"/>
        <w:rPr>
          <w:lang w:val="en-US"/>
        </w:rPr>
      </w:pPr>
    </w:p>
    <w:p w:rsidR="00FD1E7C" w:rsidRPr="003D0603" w:rsidRDefault="00BE5FD4" w:rsidP="0057244E">
      <w:pPr>
        <w:spacing w:line="480" w:lineRule="auto"/>
        <w:rPr>
          <w:b/>
          <w:lang w:val="en-US"/>
        </w:rPr>
      </w:pPr>
      <w:r>
        <w:rPr>
          <w:b/>
          <w:lang w:val="en-US"/>
        </w:rPr>
        <w:t xml:space="preserve">2. </w:t>
      </w:r>
      <w:r w:rsidR="00FD1E7C" w:rsidRPr="003D0603">
        <w:rPr>
          <w:b/>
          <w:lang w:val="en-US"/>
        </w:rPr>
        <w:t>MATERIALS AND METHODS</w:t>
      </w:r>
    </w:p>
    <w:p w:rsidR="00FD1E7C" w:rsidRPr="00BE5FD4" w:rsidRDefault="00BE5FD4" w:rsidP="00C340C0">
      <w:pPr>
        <w:spacing w:line="480" w:lineRule="auto"/>
        <w:rPr>
          <w:b/>
          <w:lang w:val="en-US"/>
        </w:rPr>
      </w:pPr>
      <w:r>
        <w:rPr>
          <w:b/>
          <w:lang w:val="en-US"/>
        </w:rPr>
        <w:t xml:space="preserve">2.1 </w:t>
      </w:r>
      <w:r w:rsidR="00FD1E7C" w:rsidRPr="00BE5FD4">
        <w:rPr>
          <w:b/>
          <w:lang w:val="en-US"/>
        </w:rPr>
        <w:t>Cell cultures, drugs solutions, supplements</w:t>
      </w:r>
    </w:p>
    <w:p w:rsidR="00BE5FD4" w:rsidRDefault="00FD1E7C" w:rsidP="00C340C0">
      <w:pPr>
        <w:spacing w:line="480" w:lineRule="auto"/>
        <w:rPr>
          <w:lang w:val="en-US"/>
        </w:rPr>
      </w:pPr>
      <w:r>
        <w:rPr>
          <w:lang w:val="en-US"/>
        </w:rPr>
        <w:t xml:space="preserve">Human Dermal Fibroblasts, adult (HDFa) (Cascade Biologics, Portland, USA) </w:t>
      </w:r>
      <w:r w:rsidR="009B20E0">
        <w:rPr>
          <w:lang w:val="en-US"/>
        </w:rPr>
        <w:t>and MPS fibroblasts type I and II (</w:t>
      </w:r>
      <w:r w:rsidR="009B20E0" w:rsidRPr="009B20E0">
        <w:rPr>
          <w:lang w:val="en-US"/>
        </w:rPr>
        <w:t>Children’s Memorial Health Institute, Warsaw, Poland</w:t>
      </w:r>
      <w:r w:rsidR="009B20E0">
        <w:rPr>
          <w:lang w:val="en-US"/>
        </w:rPr>
        <w:t xml:space="preserve">) </w:t>
      </w:r>
      <w:r>
        <w:rPr>
          <w:lang w:val="en-US"/>
        </w:rPr>
        <w:t xml:space="preserve">were cultured in Dulbecco’s modified Eagle’s medium (DMEM, </w:t>
      </w:r>
      <w:r w:rsidRPr="00D32EAA">
        <w:rPr>
          <w:lang w:val="en-US"/>
        </w:rPr>
        <w:t>Thermo Fisher Scientific Inc.</w:t>
      </w:r>
      <w:r>
        <w:rPr>
          <w:lang w:val="en-US"/>
        </w:rPr>
        <w:t>,</w:t>
      </w:r>
      <w:r w:rsidRPr="00D32EAA">
        <w:rPr>
          <w:lang w:val="en-US"/>
        </w:rPr>
        <w:t xml:space="preserve"> Paisley</w:t>
      </w:r>
      <w:r>
        <w:rPr>
          <w:lang w:val="en-US"/>
        </w:rPr>
        <w:t>, UK) supplemented with 10% fetal bovine serum (FBS) and 1% antibiotic/antimycotic solution (</w:t>
      </w:r>
      <w:r w:rsidRPr="00AB126C">
        <w:rPr>
          <w:lang w:val="en-US"/>
        </w:rPr>
        <w:t>Sigma-Aldrich Co. LLC.</w:t>
      </w:r>
      <w:r>
        <w:rPr>
          <w:lang w:val="en-US"/>
        </w:rPr>
        <w:t>, St. Louis, USA) at 37 °C in a humidified atmosphere of 5% CO</w:t>
      </w:r>
      <w:r w:rsidRPr="00AB126C">
        <w:rPr>
          <w:vertAlign w:val="subscript"/>
          <w:lang w:val="en-US"/>
        </w:rPr>
        <w:t>2</w:t>
      </w:r>
      <w:r>
        <w:rPr>
          <w:lang w:val="en-US"/>
        </w:rPr>
        <w:t>. The non-selective COX inhibitor indomethacin and the selective COX-2 inhibitor nimesulide (</w:t>
      </w:r>
      <w:r w:rsidRPr="00AB126C">
        <w:rPr>
          <w:lang w:val="en-US"/>
        </w:rPr>
        <w:t>Sigma-Aldrich Co. LLC.</w:t>
      </w:r>
      <w:r>
        <w:rPr>
          <w:lang w:val="en-US"/>
        </w:rPr>
        <w:t xml:space="preserve">, St. Louis, USA) were dissolved in dimethyl sulfoxide (DMSO, </w:t>
      </w:r>
      <w:r w:rsidRPr="00AB126C">
        <w:rPr>
          <w:lang w:val="en-US"/>
        </w:rPr>
        <w:t>Sigma-Aldrich Co. LLC.</w:t>
      </w:r>
      <w:r>
        <w:rPr>
          <w:lang w:val="en-US"/>
        </w:rPr>
        <w:t>, St. Louis, USA) and u</w:t>
      </w:r>
      <w:r w:rsidR="00BE5FD4">
        <w:rPr>
          <w:lang w:val="en-US"/>
        </w:rPr>
        <w:t>sed at a desired concentration.</w:t>
      </w:r>
    </w:p>
    <w:p w:rsidR="00FD1E7C" w:rsidRPr="00BE5FD4" w:rsidRDefault="00BE5FD4" w:rsidP="00C340C0">
      <w:pPr>
        <w:spacing w:line="480" w:lineRule="auto"/>
        <w:rPr>
          <w:color w:val="FF0000"/>
          <w:lang w:val="en-US"/>
        </w:rPr>
      </w:pPr>
      <w:r>
        <w:rPr>
          <w:b/>
          <w:lang w:val="en-US"/>
        </w:rPr>
        <w:t xml:space="preserve">2.2 </w:t>
      </w:r>
      <w:r w:rsidR="00FD1E7C" w:rsidRPr="00BE5FD4">
        <w:rPr>
          <w:b/>
          <w:lang w:val="en-US"/>
        </w:rPr>
        <w:t xml:space="preserve">Cytotoxicity and proliferation assays </w:t>
      </w:r>
    </w:p>
    <w:p w:rsidR="00FD1E7C" w:rsidRPr="003E6D66" w:rsidRDefault="009B20E0" w:rsidP="00C340C0">
      <w:pPr>
        <w:spacing w:line="480" w:lineRule="auto"/>
        <w:rPr>
          <w:lang w:val="en-US"/>
        </w:rPr>
      </w:pPr>
      <w:r>
        <w:rPr>
          <w:lang w:val="en-US"/>
        </w:rPr>
        <w:t xml:space="preserve">The cell growth and proliferation </w:t>
      </w:r>
      <w:r w:rsidR="00274E5E">
        <w:rPr>
          <w:lang w:val="en-US"/>
        </w:rPr>
        <w:t xml:space="preserve">was assessed using the </w:t>
      </w:r>
      <w:r w:rsidR="00274E5E" w:rsidRPr="00274E5E">
        <w:rPr>
          <w:lang w:val="en-US"/>
        </w:rPr>
        <w:t>3-[4,5-dimethylthiazol-2-yl]-2,5-diphenyltetrazolium bromide</w:t>
      </w:r>
      <w:r w:rsidR="00274E5E">
        <w:rPr>
          <w:lang w:val="en-US"/>
        </w:rPr>
        <w:t xml:space="preserve"> (</w:t>
      </w:r>
      <w:r w:rsidR="00FD1E7C" w:rsidRPr="00F4354D">
        <w:rPr>
          <w:lang w:val="en-US"/>
        </w:rPr>
        <w:t>MTT</w:t>
      </w:r>
      <w:r w:rsidR="00274E5E">
        <w:rPr>
          <w:lang w:val="en-US"/>
        </w:rPr>
        <w:t xml:space="preserve">) </w:t>
      </w:r>
      <w:r w:rsidR="00807D6E" w:rsidRPr="00807D6E">
        <w:rPr>
          <w:lang w:val="en-US"/>
        </w:rPr>
        <w:t>(Sigma-Ald</w:t>
      </w:r>
      <w:r w:rsidR="00807D6E">
        <w:rPr>
          <w:lang w:val="en-US"/>
        </w:rPr>
        <w:t xml:space="preserve">rich Co. LLC., St. Louis, USA) which is reduced by viable cells </w:t>
      </w:r>
      <w:r w:rsidR="00807D6E" w:rsidRPr="00807D6E">
        <w:rPr>
          <w:lang w:val="en-US"/>
        </w:rPr>
        <w:t>into a purple colored formazan product</w:t>
      </w:r>
      <w:r w:rsidR="00C61DF4">
        <w:rPr>
          <w:lang w:val="en-US"/>
        </w:rPr>
        <w:t xml:space="preserve"> </w:t>
      </w:r>
      <w:r w:rsidR="006C4E42">
        <w:rPr>
          <w:lang w:val="en-US"/>
        </w:rPr>
        <w:fldChar w:fldCharType="begin" w:fldLock="1"/>
      </w:r>
      <w:r w:rsidR="00C61DF4">
        <w:rPr>
          <w:lang w:val="en-US"/>
        </w:rPr>
        <w:instrText>ADDIN CSL_CITATION { "citationItems" : [ { "id" : "ITEM-1", "itemData" : { "ISSN" : "0022-1759", "PMID" : "6606682", "abstract" : "A tetrazolium salt has been used to develop a quantitative colorimetric assay for mammalian cell survival and proliferation. The assay detects living, but not dead cells and the signal generated is dependent on the degree of activation of the cells. This method can therefore be used to measure cytotoxicity, proliferation or activation. The results can be read on a multiwell scanning spectrophotometer (ELISA reader) and show a high degree of precision. No washing steps are used in the assay. The main advantages of the colorimetric assay are its rapidity and precision, and the lack of any radioisotope. We have used the assay to measure proliferative lymphokines, mitogen stimulations and complement-mediated lysis.", "author" : [ { "dropping-particle" : "", "family" : "Mosmann", "given" : "T", "non-dropping-particle" : "", "parse-names" : false, "suffix" : "" } ], "container-title" : "Journal of immunological methods", "id" : "ITEM-1", "issue" : "1-2", "issued" : { "date-parts" : [ [ "1983", "12", "16" ] ] }, "page" : "55-63", "title" : "Rapid colorimetric assay for cellular growth and survival: application to proliferation and cytotoxicity assays.", "type" : "article-journal", "volume" : "65" }, "uris" : [ "http://www.mendeley.com/documents/?uuid=b08c593d-2d4e-3727-aeae-ccf1813b7844" ] } ], "mendeley" : { "formattedCitation" : "(Mosmann, 1983)", "plainTextFormattedCitation" : "(Mosmann, 1983)", "previouslyFormattedCitation" : "(Mosmann, 1983)" }, "properties" : { "noteIndex" : 0 }, "schema" : "https://github.com/citation-style-language/schema/raw/master/csl-citation.json" }</w:instrText>
      </w:r>
      <w:r w:rsidR="006C4E42">
        <w:rPr>
          <w:lang w:val="en-US"/>
        </w:rPr>
        <w:fldChar w:fldCharType="separate"/>
      </w:r>
      <w:r w:rsidR="00C61DF4" w:rsidRPr="00C61DF4">
        <w:rPr>
          <w:noProof/>
          <w:lang w:val="en-US"/>
        </w:rPr>
        <w:t>(Mosmann, 1983)</w:t>
      </w:r>
      <w:r w:rsidR="006C4E42">
        <w:rPr>
          <w:lang w:val="en-US"/>
        </w:rPr>
        <w:fldChar w:fldCharType="end"/>
      </w:r>
      <w:r w:rsidR="00807D6E">
        <w:rPr>
          <w:lang w:val="en-US"/>
        </w:rPr>
        <w:t xml:space="preserve">. </w:t>
      </w:r>
      <w:r w:rsidR="00FD1E7C" w:rsidRPr="00F4354D">
        <w:rPr>
          <w:lang w:val="en-US"/>
        </w:rPr>
        <w:t>Cells were plated in flat-bottomed 96-well plates</w:t>
      </w:r>
      <w:r w:rsidR="00FD1E7C" w:rsidRPr="00A609A6">
        <w:rPr>
          <w:lang w:val="en-US"/>
        </w:rPr>
        <w:t xml:space="preserve"> in a number of 6 x 10</w:t>
      </w:r>
      <w:r w:rsidR="00FD1E7C" w:rsidRPr="00A609A6">
        <w:rPr>
          <w:vertAlign w:val="superscript"/>
          <w:lang w:val="en-US"/>
        </w:rPr>
        <w:t>3</w:t>
      </w:r>
      <w:r w:rsidR="00FD1E7C" w:rsidRPr="00A609A6">
        <w:rPr>
          <w:lang w:val="en-US"/>
        </w:rPr>
        <w:t xml:space="preserve"> cells per well (cytotoxicity assay) or 10</w:t>
      </w:r>
      <w:r w:rsidR="00FD1E7C" w:rsidRPr="00A609A6">
        <w:rPr>
          <w:vertAlign w:val="superscript"/>
          <w:lang w:val="en-US"/>
        </w:rPr>
        <w:t>3</w:t>
      </w:r>
      <w:r w:rsidR="00FD1E7C" w:rsidRPr="00A609A6">
        <w:rPr>
          <w:lang w:val="en-US"/>
        </w:rPr>
        <w:t xml:space="preserve"> cells per well (proliferation assay)</w:t>
      </w:r>
      <w:r w:rsidR="00FD1E7C">
        <w:rPr>
          <w:lang w:val="en-US"/>
        </w:rPr>
        <w:t>,</w:t>
      </w:r>
      <w:r w:rsidR="00FD1E7C" w:rsidRPr="00F4354D">
        <w:rPr>
          <w:lang w:val="en-US"/>
        </w:rPr>
        <w:t xml:space="preserve"> and</w:t>
      </w:r>
      <w:r w:rsidR="00FD1E7C">
        <w:rPr>
          <w:lang w:val="en-US"/>
        </w:rPr>
        <w:t xml:space="preserve"> after 24 h</w:t>
      </w:r>
      <w:r w:rsidR="00FD1E7C" w:rsidRPr="00F4354D">
        <w:rPr>
          <w:lang w:val="en-US"/>
        </w:rPr>
        <w:t xml:space="preserve"> </w:t>
      </w:r>
      <w:r w:rsidR="00FD1E7C">
        <w:rPr>
          <w:lang w:val="en-US"/>
        </w:rPr>
        <w:t xml:space="preserve">they were </w:t>
      </w:r>
      <w:r w:rsidR="00FD1E7C" w:rsidRPr="00F4354D">
        <w:rPr>
          <w:lang w:val="en-US"/>
        </w:rPr>
        <w:t>treated with</w:t>
      </w:r>
      <w:r w:rsidR="00FD1E7C">
        <w:rPr>
          <w:lang w:val="en-US"/>
        </w:rPr>
        <w:t xml:space="preserve"> indicated concentration of indomethacin, nimesulide or 0.05</w:t>
      </w:r>
      <w:r w:rsidR="00FD1E7C" w:rsidRPr="00F4354D">
        <w:rPr>
          <w:lang w:val="en-US"/>
        </w:rPr>
        <w:t xml:space="preserve">% DMSO </w:t>
      </w:r>
      <w:r w:rsidR="00FD1E7C">
        <w:rPr>
          <w:lang w:val="en-US"/>
        </w:rPr>
        <w:t xml:space="preserve">(Control) </w:t>
      </w:r>
      <w:r w:rsidR="00FD1E7C" w:rsidRPr="00F4354D">
        <w:rPr>
          <w:lang w:val="en-US"/>
        </w:rPr>
        <w:t>for</w:t>
      </w:r>
      <w:r w:rsidR="00FD1E7C">
        <w:rPr>
          <w:lang w:val="en-US"/>
        </w:rPr>
        <w:t xml:space="preserve"> 24 h, 48 h, and 7 days at 37 °C and 5% CO</w:t>
      </w:r>
      <w:r w:rsidR="00FD1E7C" w:rsidRPr="00F4354D">
        <w:rPr>
          <w:vertAlign w:val="subscript"/>
          <w:lang w:val="en-US"/>
        </w:rPr>
        <w:t>2</w:t>
      </w:r>
      <w:r w:rsidR="00FD1E7C">
        <w:rPr>
          <w:lang w:val="en-US"/>
        </w:rPr>
        <w:t>. Then</w:t>
      </w:r>
      <w:r w:rsidR="00FD1E7C" w:rsidRPr="00F4354D">
        <w:rPr>
          <w:lang w:val="en-US"/>
        </w:rPr>
        <w:t>, medium was replaced with RPMI (</w:t>
      </w:r>
      <w:r w:rsidR="00FD1E7C" w:rsidRPr="00AB126C">
        <w:rPr>
          <w:lang w:val="en-US"/>
        </w:rPr>
        <w:t>Sigma-Aldrich Co. LLC.</w:t>
      </w:r>
      <w:r w:rsidR="00FD1E7C">
        <w:rPr>
          <w:lang w:val="en-US"/>
        </w:rPr>
        <w:t>, St. Louis, USA) supplemented with MTT</w:t>
      </w:r>
      <w:r>
        <w:rPr>
          <w:lang w:val="en-US"/>
        </w:rPr>
        <w:t xml:space="preserve"> </w:t>
      </w:r>
      <w:r w:rsidR="00274E5E">
        <w:rPr>
          <w:lang w:val="en-US"/>
        </w:rPr>
        <w:t>(</w:t>
      </w:r>
      <w:r w:rsidR="00FD1E7C" w:rsidRPr="00F4354D">
        <w:rPr>
          <w:lang w:val="en-US"/>
        </w:rPr>
        <w:t>1 mg/ml</w:t>
      </w:r>
      <w:r w:rsidR="00274E5E">
        <w:rPr>
          <w:lang w:val="en-US"/>
        </w:rPr>
        <w:t xml:space="preserve">) </w:t>
      </w:r>
      <w:r w:rsidR="00FD1E7C" w:rsidRPr="00F4354D">
        <w:rPr>
          <w:lang w:val="en-US"/>
        </w:rPr>
        <w:t>for another 4 h. The</w:t>
      </w:r>
      <w:r w:rsidR="0055781E">
        <w:rPr>
          <w:lang w:val="en-US"/>
        </w:rPr>
        <w:t xml:space="preserve"> </w:t>
      </w:r>
      <w:r w:rsidR="00FD1E7C" w:rsidRPr="00F4354D">
        <w:rPr>
          <w:lang w:val="en-US"/>
        </w:rPr>
        <w:t>purple formazan crystals</w:t>
      </w:r>
      <w:r w:rsidR="0055781E">
        <w:rPr>
          <w:lang w:val="en-US"/>
        </w:rPr>
        <w:t xml:space="preserve"> (</w:t>
      </w:r>
      <w:r w:rsidR="0055781E" w:rsidRPr="0055781E">
        <w:rPr>
          <w:lang w:val="en-US"/>
        </w:rPr>
        <w:t>proportional to the number of viable cells</w:t>
      </w:r>
      <w:r w:rsidR="0055781E">
        <w:rPr>
          <w:lang w:val="en-US"/>
        </w:rPr>
        <w:t>)</w:t>
      </w:r>
      <w:r w:rsidR="00FD1E7C" w:rsidRPr="00F4354D">
        <w:rPr>
          <w:lang w:val="en-US"/>
        </w:rPr>
        <w:t xml:space="preserve"> were dissolved in </w:t>
      </w:r>
      <w:r w:rsidR="00FD1E7C" w:rsidRPr="00D479DC">
        <w:rPr>
          <w:lang w:val="en-US"/>
        </w:rPr>
        <w:t>150 μl</w:t>
      </w:r>
      <w:r w:rsidR="00FD1E7C" w:rsidRPr="00F4354D">
        <w:rPr>
          <w:lang w:val="en-US"/>
        </w:rPr>
        <w:t xml:space="preserve"> </w:t>
      </w:r>
      <w:r w:rsidR="00FD1E7C">
        <w:rPr>
          <w:lang w:val="en-US"/>
        </w:rPr>
        <w:t xml:space="preserve">of 100% </w:t>
      </w:r>
      <w:r w:rsidR="00FD1E7C" w:rsidRPr="00F4354D">
        <w:rPr>
          <w:lang w:val="en-US"/>
        </w:rPr>
        <w:t>DMSO, and absorbance was determined at 570 nm using Wallac 1420 Multilabel Counter (Perkin Elmer</w:t>
      </w:r>
      <w:r w:rsidR="00FD1E7C">
        <w:rPr>
          <w:lang w:val="en-US"/>
        </w:rPr>
        <w:t xml:space="preserve"> Inc., MA, USA</w:t>
      </w:r>
      <w:r w:rsidR="00FD1E7C" w:rsidRPr="00F4354D">
        <w:rPr>
          <w:lang w:val="en-US"/>
        </w:rPr>
        <w:t>).</w:t>
      </w:r>
    </w:p>
    <w:p w:rsidR="00BE5FD4" w:rsidRDefault="00BE5FD4" w:rsidP="00C340C0">
      <w:pPr>
        <w:spacing w:line="480" w:lineRule="auto"/>
        <w:rPr>
          <w:b/>
          <w:lang w:val="en-US"/>
        </w:rPr>
      </w:pPr>
    </w:p>
    <w:p w:rsidR="00FD1E7C" w:rsidRPr="00BE5FD4" w:rsidRDefault="00BE5FD4" w:rsidP="00C340C0">
      <w:pPr>
        <w:spacing w:line="480" w:lineRule="auto"/>
        <w:rPr>
          <w:b/>
          <w:color w:val="FF0000"/>
          <w:lang w:val="en-US"/>
        </w:rPr>
      </w:pPr>
      <w:r>
        <w:rPr>
          <w:b/>
          <w:lang w:val="en-US"/>
        </w:rPr>
        <w:t xml:space="preserve">2.3 </w:t>
      </w:r>
      <w:r w:rsidR="00FD1E7C" w:rsidRPr="00BE5FD4">
        <w:rPr>
          <w:b/>
          <w:lang w:val="en-US"/>
        </w:rPr>
        <w:t xml:space="preserve">RNA extraction </w:t>
      </w:r>
    </w:p>
    <w:p w:rsidR="00FD1E7C" w:rsidRDefault="00FD1E7C" w:rsidP="00C340C0">
      <w:pPr>
        <w:spacing w:line="480" w:lineRule="auto"/>
        <w:rPr>
          <w:lang w:val="en-US"/>
        </w:rPr>
      </w:pPr>
      <w:r>
        <w:rPr>
          <w:lang w:val="en-US"/>
        </w:rPr>
        <w:t xml:space="preserve">Total RNA was extracted from cells using the High Pure RNA Isolation Kit (Roche Applied Science, IN, USA) and </w:t>
      </w:r>
      <w:r w:rsidRPr="00DD0E0E">
        <w:rPr>
          <w:lang w:val="en-US"/>
        </w:rPr>
        <w:t>quantified with the Quant-it</w:t>
      </w:r>
      <w:r w:rsidRPr="00DD0E0E">
        <w:rPr>
          <w:vertAlign w:val="superscript"/>
          <w:lang w:val="en-US"/>
        </w:rPr>
        <w:t>TM</w:t>
      </w:r>
      <w:r w:rsidRPr="00DD0E0E">
        <w:rPr>
          <w:lang w:val="en-US"/>
        </w:rPr>
        <w:t xml:space="preserve"> RiboGreen® assay kit</w:t>
      </w:r>
      <w:r>
        <w:rPr>
          <w:lang w:val="en-US"/>
        </w:rPr>
        <w:t xml:space="preserve"> (</w:t>
      </w:r>
      <w:r w:rsidRPr="00D32EAA">
        <w:rPr>
          <w:lang w:val="en-US"/>
        </w:rPr>
        <w:t>Thermo Fisher Scientific Inc.</w:t>
      </w:r>
      <w:r>
        <w:rPr>
          <w:lang w:val="en-US"/>
        </w:rPr>
        <w:t>,</w:t>
      </w:r>
      <w:r w:rsidRPr="00D32EAA">
        <w:rPr>
          <w:lang w:val="en-US"/>
        </w:rPr>
        <w:t xml:space="preserve"> Paisley</w:t>
      </w:r>
      <w:r>
        <w:rPr>
          <w:lang w:val="en-US"/>
        </w:rPr>
        <w:t xml:space="preserve">, UK) following the manufacturer’s instructions. </w:t>
      </w:r>
      <w:r w:rsidRPr="00DD0E0E">
        <w:rPr>
          <w:lang w:val="en-US"/>
        </w:rPr>
        <w:t>In addition, the quality of each RNA sample w</w:t>
      </w:r>
      <w:r>
        <w:rPr>
          <w:lang w:val="en-US"/>
        </w:rPr>
        <w:t>as assessed using the RNA 6000 N</w:t>
      </w:r>
      <w:r w:rsidRPr="00DD0E0E">
        <w:rPr>
          <w:lang w:val="en-US"/>
        </w:rPr>
        <w:t>ano</w:t>
      </w:r>
      <w:r>
        <w:rPr>
          <w:lang w:val="en-US"/>
        </w:rPr>
        <w:t xml:space="preserve"> A</w:t>
      </w:r>
      <w:r w:rsidRPr="00DD0E0E">
        <w:rPr>
          <w:lang w:val="en-US"/>
        </w:rPr>
        <w:t>ssay on the Agilent 2100 Bioanalyzer (Agilent Technologies</w:t>
      </w:r>
      <w:r>
        <w:rPr>
          <w:lang w:val="en-US"/>
        </w:rPr>
        <w:t xml:space="preserve"> Inc., CA, USA</w:t>
      </w:r>
      <w:r w:rsidRPr="00DD0E0E">
        <w:rPr>
          <w:lang w:val="en-US"/>
        </w:rPr>
        <w:t>).</w:t>
      </w:r>
      <w:r>
        <w:rPr>
          <w:lang w:val="en-US"/>
        </w:rPr>
        <w:t xml:space="preserve"> </w:t>
      </w:r>
    </w:p>
    <w:p w:rsidR="00FD1E7C" w:rsidRDefault="00FD1E7C" w:rsidP="00C340C0">
      <w:pPr>
        <w:spacing w:line="480" w:lineRule="auto"/>
        <w:rPr>
          <w:lang w:val="en-US"/>
        </w:rPr>
      </w:pPr>
    </w:p>
    <w:p w:rsidR="00FD1E7C" w:rsidRPr="00BE5FD4" w:rsidRDefault="00BE5FD4" w:rsidP="00C340C0">
      <w:pPr>
        <w:spacing w:line="480" w:lineRule="auto"/>
        <w:rPr>
          <w:b/>
          <w:lang w:val="en-US"/>
        </w:rPr>
      </w:pPr>
      <w:r>
        <w:rPr>
          <w:b/>
          <w:lang w:val="en-US"/>
        </w:rPr>
        <w:t xml:space="preserve">2.4 </w:t>
      </w:r>
      <w:r w:rsidR="00FD1E7C" w:rsidRPr="00BE5FD4">
        <w:rPr>
          <w:b/>
          <w:lang w:val="en-US"/>
        </w:rPr>
        <w:t>Microarray assay performance and statistical analysis</w:t>
      </w:r>
    </w:p>
    <w:p w:rsidR="00E77E55" w:rsidRDefault="00FD1E7C" w:rsidP="009D180D">
      <w:pPr>
        <w:spacing w:line="480" w:lineRule="auto"/>
        <w:rPr>
          <w:lang w:val="en-US"/>
        </w:rPr>
      </w:pPr>
      <w:r w:rsidRPr="00CF79A9">
        <w:rPr>
          <w:lang w:val="en-US"/>
        </w:rPr>
        <w:t>Whole genome microarray analysis of three biological replic</w:t>
      </w:r>
      <w:r>
        <w:rPr>
          <w:lang w:val="en-US"/>
        </w:rPr>
        <w:t>ates</w:t>
      </w:r>
      <w:r w:rsidRPr="00CF79A9">
        <w:rPr>
          <w:lang w:val="en-US"/>
        </w:rPr>
        <w:t xml:space="preserve"> was performed using Illumina’s Human HT-12v4 Expression BeadChips</w:t>
      </w:r>
      <w:r>
        <w:rPr>
          <w:lang w:val="en-US"/>
        </w:rPr>
        <w:t xml:space="preserve">, </w:t>
      </w:r>
      <w:r w:rsidRPr="00BF1B21">
        <w:rPr>
          <w:lang w:val="en-US"/>
        </w:rPr>
        <w:t>targeting more than 25,000 gen</w:t>
      </w:r>
      <w:r>
        <w:rPr>
          <w:lang w:val="en-US"/>
        </w:rPr>
        <w:t xml:space="preserve">es with more than 48,000 probes </w:t>
      </w:r>
      <w:r w:rsidRPr="00CF79A9">
        <w:rPr>
          <w:lang w:val="en-US"/>
        </w:rPr>
        <w:t>(Illumina Inc.,</w:t>
      </w:r>
      <w:r>
        <w:rPr>
          <w:lang w:val="en-US"/>
        </w:rPr>
        <w:t xml:space="preserve"> CA, USA), </w:t>
      </w:r>
      <w:r w:rsidRPr="00CF79A9">
        <w:rPr>
          <w:lang w:val="en-US"/>
        </w:rPr>
        <w:t>for all tested conditions</w:t>
      </w:r>
      <w:r>
        <w:rPr>
          <w:lang w:val="en-US"/>
        </w:rPr>
        <w:t xml:space="preserve">. </w:t>
      </w:r>
      <w:r w:rsidRPr="00BF1B21">
        <w:rPr>
          <w:lang w:val="en-US"/>
        </w:rPr>
        <w:t>BeadChips were scanned using an Illumina BeadArray Reader and the Bead Scan Software (Illumina Inc., CA, USA). The quality of microarray data was controlled by examining raw and adjusted intensity histograms.</w:t>
      </w:r>
      <w:r>
        <w:rPr>
          <w:lang w:val="en-US"/>
        </w:rPr>
        <w:t xml:space="preserve"> The assay performance and </w:t>
      </w:r>
      <w:r w:rsidRPr="0007330D">
        <w:rPr>
          <w:lang w:val="en-US"/>
        </w:rPr>
        <w:t>data extraction</w:t>
      </w:r>
      <w:r>
        <w:rPr>
          <w:lang w:val="en-US"/>
        </w:rPr>
        <w:t xml:space="preserve"> was done </w:t>
      </w:r>
      <w:r w:rsidRPr="006B0BF5">
        <w:rPr>
          <w:lang w:val="en-US"/>
        </w:rPr>
        <w:t xml:space="preserve">as described previously </w:t>
      </w:r>
      <w:r w:rsidR="006C4E42">
        <w:rPr>
          <w:lang w:val="en-US"/>
        </w:rPr>
        <w:fldChar w:fldCharType="begin" w:fldLock="1"/>
      </w:r>
      <w:r w:rsidR="00B8446D">
        <w:rPr>
          <w:lang w:val="en-US"/>
        </w:rPr>
        <w:instrText>ADDIN CSL_CITATION { "citationItems" : [ { "id" : "ITEM-1", "itemData" : { "DOI" : "10.1074/jbc.M114.555300", "ISSN" : "1083-351X", "PMID" : "24770416", "abstract" : "Genistein (5,7-dihydroxy-3-(4-hydroxyphenyl)-4H-1-benzopyran-4-one) has been previously proposed as a potential drug for use in substrate reduction therapy for mucopolysaccharidoses, a group of inherited metabolic diseases caused by mutations leading to inefficient degradation of glycosaminoglycans (GAGs) in lysosomes. It was demonstrated that this isoflavone can cross the blood-brain barrier, making it an especially desirable potential drug for the treatment of neurological symptoms present in most lysosomal storage diseases. So far, no comprehensive genomic analyses have been performed to elucidate the molecular mechanisms underlying the effect elicited by genistein. Therefore, the aim of this work was to identify the genistein-modulated gene network regulating GAG biosynthesis and degradation, taking into consideration the entire lysosomal metabolism. Our analyses identified over 60 genes with known roles in lysosomal biogenesis and/or function whose expression was enhanced by genistein. Moreover, 19 genes whose products are involved in both GAG synthesis and degradation pathways were found to be remarkably differentially regulated by genistein treatment. We found a regulatory network linking genistein-mediated control of transcription factor EB (TFEB) gene expression, TFEB nuclear translocation, and activation of TFEB-dependent lysosome biogenesis to lysosomal metabolism. Our data indicate that the molecular mechanism of genistein action involves not only impairment of GAG synthesis but more importantly lysosomal enhancement via TFEB. These findings contribute to explaining the beneficial effects of genistein in lysosomal storage diseases as well as envisage new therapeutic approaches to treat these devastating diseases.", "author" : [ { "dropping-particle" : "", "family" : "Moskot", "given" : "Marta", "non-dropping-particle" : "", "parse-names" : false, "suffix" : "" }, { "dropping-particle" : "", "family" : "Montefusco", "given" : "Sandro", "non-dropping-particle" : "", "parse-names" : false, "suffix" : "" }, { "dropping-particle" : "", "family" : "Jak\u00f3bkiewicz-Banecka", "given" : "Joanna", "non-dropping-particle" : "", "parse-names" : false, "suffix" : "" }, { "dropping-particle" : "", "family" : "Mozolewski", "given" : "Pawe\u0142", "non-dropping-particle" : "", "parse-names" : false, "suffix" : "" }, { "dropping-particle" : "", "family" : "W\u0119grzyn", "given" : "Alicja", "non-dropping-particle" : "", "parse-names" : false, "suffix" : "" }, { "dropping-particle" : "", "family" : "Bernardo", "given" : "Diego", "non-dropping-particle" : "Di", "parse-names" : false, "suffix" : "" }, { "dropping-particle" : "", "family" : "W\u0119grzyn", "given" : "Grzegorz", "non-dropping-particle" : "", "parse-names" : false, "suffix" : "" }, { "dropping-particle" : "", "family" : "Medina", "given" : "Diego L", "non-dropping-particle" : "", "parse-names" : false, "suffix" : "" }, { "dropping-particle" : "", "family" : "Ballabio", "given" : "Andrea", "non-dropping-particle" : "", "parse-names" : false, "suffix" : "" }, { "dropping-particle" : "", "family" : "Gabig-Cimi\u0144ska", "given" : "Magdalena", "non-dropping-particle" : "", "parse-names" : false, "suffix" : "" } ], "container-title" : "The Journal of biological chemistry", "id" : "ITEM-1", "issue" : "24", "issued" : { "date-parts" : [ [ "2014", "6", "13" ] ] }, "page" : "17054-69", "publisher" : "American Society for Biochemistry and Molecular Biology", "title" : "The phytoestrogen genistein modulates lysosomal metabolism and transcription factor EB (TFEB) activation.", "type" : "article-journal", "volume" : "289" }, "uris" : [ "http://www.mendeley.com/documents/?uuid=56cc3f62-0924-32b7-a16a-e4c684c2973e" ] } ], "mendeley" : { "formattedCitation" : "(Moskot et al., 2014)", "plainTextFormattedCitation" : "(Moskot et al., 2014)", "previouslyFormattedCitation" : "(Moskot et al., 2014)" }, "properties" : { "noteIndex" : 0 }, "schema" : "https://github.com/citation-style-language/schema/raw/master/csl-citation.json" }</w:instrText>
      </w:r>
      <w:r w:rsidR="006C4E42">
        <w:rPr>
          <w:lang w:val="en-US"/>
        </w:rPr>
        <w:fldChar w:fldCharType="separate"/>
      </w:r>
      <w:r w:rsidR="00B8446D" w:rsidRPr="00B8446D">
        <w:rPr>
          <w:noProof/>
          <w:lang w:val="en-US"/>
        </w:rPr>
        <w:t>(Moskot et al., 2014)</w:t>
      </w:r>
      <w:r w:rsidR="006C4E42">
        <w:rPr>
          <w:lang w:val="en-US"/>
        </w:rPr>
        <w:fldChar w:fldCharType="end"/>
      </w:r>
      <w:r>
        <w:rPr>
          <w:lang w:val="en-US"/>
        </w:rPr>
        <w:t>.</w:t>
      </w:r>
      <w:r w:rsidRPr="00CF79A9">
        <w:rPr>
          <w:lang w:val="en-US"/>
        </w:rPr>
        <w:t xml:space="preserve"> All gene expression data have been deposited in the NCBI Gene Expression Omni</w:t>
      </w:r>
      <w:r>
        <w:rPr>
          <w:lang w:val="en-US"/>
        </w:rPr>
        <w:t xml:space="preserve">bus (GEO series accession number </w:t>
      </w:r>
      <w:r w:rsidRPr="004F1A08">
        <w:rPr>
          <w:lang w:val="en-US"/>
        </w:rPr>
        <w:t>GSE63239</w:t>
      </w:r>
      <w:r w:rsidRPr="00CF79A9">
        <w:rPr>
          <w:lang w:val="en-US"/>
        </w:rPr>
        <w:t>), according to the MIAME (minimum information about a microarray experiment) standards. An overview of experiment performance was gained by clustering samples using a correlation metric (Illumina® Bead</w:t>
      </w:r>
      <w:r>
        <w:rPr>
          <w:lang w:val="en-US"/>
        </w:rPr>
        <w:t xml:space="preserve">Studio Data Analysis software). </w:t>
      </w:r>
      <w:r w:rsidRPr="00CF79A9">
        <w:rPr>
          <w:lang w:val="en-US"/>
        </w:rPr>
        <w:t>The Pearson correlation coefficien</w:t>
      </w:r>
      <w:r>
        <w:rPr>
          <w:lang w:val="en-US"/>
        </w:rPr>
        <w:t>t method was used to calculate ‘expression distance values’</w:t>
      </w:r>
      <w:r w:rsidRPr="00CF79A9">
        <w:rPr>
          <w:lang w:val="en-US"/>
        </w:rPr>
        <w:t xml:space="preserve"> across experiments and to group samples that have similar expression patterns. The values ranging between 0.98 and 0.99 for biological replicates indicate a high degree of reproducibility and strong correspondences between expression profiles. </w:t>
      </w:r>
      <w:r>
        <w:rPr>
          <w:lang w:val="en-US"/>
        </w:rPr>
        <w:t xml:space="preserve">Genes were considered to be significantly differentially expressed if they obtained a </w:t>
      </w:r>
      <w:r w:rsidRPr="00CF79A9">
        <w:rPr>
          <w:lang w:val="en-US"/>
        </w:rPr>
        <w:t xml:space="preserve">fold change </w:t>
      </w:r>
      <w:r>
        <w:rPr>
          <w:lang w:val="en-US"/>
        </w:rPr>
        <w:t xml:space="preserve">(FC) greater than or </w:t>
      </w:r>
      <w:r w:rsidRPr="00DF7614">
        <w:rPr>
          <w:lang w:val="en-US"/>
        </w:rPr>
        <w:t xml:space="preserve">equal to 1.3 and below than or equal to 0.7 for whole genome transcripts, respectively, with a </w:t>
      </w:r>
      <w:r w:rsidR="00961D98" w:rsidRPr="00DF7614">
        <w:rPr>
          <w:rStyle w:val="Emphasis"/>
          <w:i w:val="0"/>
          <w:iCs/>
          <w:lang w:val="en-US"/>
        </w:rPr>
        <w:t>P</w:t>
      </w:r>
      <w:r w:rsidRPr="00DF7614">
        <w:rPr>
          <w:lang w:val="en-US"/>
        </w:rPr>
        <w:t xml:space="preserve"> value </w:t>
      </w:r>
      <w:r>
        <w:rPr>
          <w:lang w:val="en-US"/>
        </w:rPr>
        <w:t>of &lt; 0.05.</w:t>
      </w:r>
    </w:p>
    <w:p w:rsidR="00FA5ECE" w:rsidRDefault="00FA5ECE" w:rsidP="009D180D">
      <w:pPr>
        <w:spacing w:line="480" w:lineRule="auto"/>
        <w:rPr>
          <w:lang w:val="en-US"/>
        </w:rPr>
      </w:pPr>
    </w:p>
    <w:p w:rsidR="00FD1E7C" w:rsidRPr="00BE5FD4" w:rsidRDefault="00BE5FD4" w:rsidP="009D180D">
      <w:pPr>
        <w:spacing w:line="480" w:lineRule="auto"/>
        <w:rPr>
          <w:lang w:val="en-US"/>
        </w:rPr>
      </w:pPr>
      <w:r>
        <w:rPr>
          <w:b/>
          <w:lang w:val="en-US"/>
        </w:rPr>
        <w:t xml:space="preserve">2.5 </w:t>
      </w:r>
      <w:r w:rsidR="00FD1E7C" w:rsidRPr="00BE5FD4">
        <w:rPr>
          <w:b/>
          <w:lang w:val="en-US"/>
        </w:rPr>
        <w:t>Cell cycle analysis</w:t>
      </w:r>
    </w:p>
    <w:p w:rsidR="00FD1E7C" w:rsidRPr="007171AD" w:rsidRDefault="00FD1E7C" w:rsidP="007171AD">
      <w:pPr>
        <w:spacing w:line="480" w:lineRule="auto"/>
        <w:rPr>
          <w:color w:val="000000"/>
          <w:shd w:val="clear" w:color="auto" w:fill="FFFFFF"/>
          <w:lang w:val="en-US"/>
        </w:rPr>
      </w:pPr>
      <w:r>
        <w:rPr>
          <w:lang w:val="en-US"/>
        </w:rPr>
        <w:t xml:space="preserve">Human dermal fibroblasts, adult, were </w:t>
      </w:r>
      <w:r w:rsidRPr="00231B67">
        <w:rPr>
          <w:lang w:val="en-US"/>
        </w:rPr>
        <w:t>seeded</w:t>
      </w:r>
      <w:r>
        <w:rPr>
          <w:lang w:val="en-US"/>
        </w:rPr>
        <w:t xml:space="preserve"> into 6-well plate </w:t>
      </w:r>
      <w:r w:rsidRPr="00986F73">
        <w:rPr>
          <w:color w:val="000000"/>
          <w:shd w:val="clear" w:color="auto" w:fill="FFFFFF"/>
          <w:lang w:val="en-US"/>
        </w:rPr>
        <w:t>at a density of 1 × 10</w:t>
      </w:r>
      <w:r w:rsidRPr="00017473">
        <w:rPr>
          <w:color w:val="000000"/>
          <w:szCs w:val="20"/>
          <w:shd w:val="clear" w:color="auto" w:fill="FFFFFF"/>
          <w:vertAlign w:val="superscript"/>
          <w:lang w:val="en-US"/>
        </w:rPr>
        <w:t>4</w:t>
      </w:r>
      <w:r w:rsidRPr="00017473">
        <w:rPr>
          <w:rStyle w:val="apple-converted-space"/>
          <w:color w:val="000000"/>
          <w:shd w:val="clear" w:color="auto" w:fill="FFFFFF"/>
          <w:lang w:val="en-US"/>
        </w:rPr>
        <w:t> </w:t>
      </w:r>
      <w:r w:rsidRPr="00986F73">
        <w:rPr>
          <w:color w:val="000000"/>
          <w:shd w:val="clear" w:color="auto" w:fill="FFFFFF"/>
          <w:lang w:val="en-US"/>
        </w:rPr>
        <w:t>cells per well</w:t>
      </w:r>
      <w:r>
        <w:rPr>
          <w:color w:val="000000"/>
          <w:shd w:val="clear" w:color="auto" w:fill="FFFFFF"/>
          <w:lang w:val="en-US"/>
        </w:rPr>
        <w:t xml:space="preserve">. The next day, the standard DMEM medium was replaced </w:t>
      </w:r>
      <w:r w:rsidRPr="002B39D0">
        <w:rPr>
          <w:color w:val="000000"/>
          <w:shd w:val="clear" w:color="auto" w:fill="FFFFFF"/>
          <w:lang w:val="en-US"/>
        </w:rPr>
        <w:t xml:space="preserve">with fresh one containing appropriate amounts of </w:t>
      </w:r>
      <w:r>
        <w:rPr>
          <w:color w:val="000000"/>
          <w:shd w:val="clear" w:color="auto" w:fill="FFFFFF"/>
          <w:lang w:val="en-US"/>
        </w:rPr>
        <w:t>selected</w:t>
      </w:r>
      <w:r w:rsidRPr="002B39D0">
        <w:rPr>
          <w:color w:val="000000"/>
          <w:shd w:val="clear" w:color="auto" w:fill="FFFFFF"/>
          <w:lang w:val="en-US"/>
        </w:rPr>
        <w:t xml:space="preserve"> </w:t>
      </w:r>
      <w:r w:rsidR="00C31574">
        <w:rPr>
          <w:color w:val="000000"/>
          <w:shd w:val="clear" w:color="auto" w:fill="FFFFFF"/>
          <w:lang w:val="en-US"/>
        </w:rPr>
        <w:t>drugs</w:t>
      </w:r>
      <w:r>
        <w:rPr>
          <w:color w:val="000000"/>
          <w:shd w:val="clear" w:color="auto" w:fill="FFFFFF"/>
          <w:lang w:val="en-US"/>
        </w:rPr>
        <w:t xml:space="preserve"> or DMSO only used as control</w:t>
      </w:r>
      <w:r w:rsidRPr="002B39D0">
        <w:rPr>
          <w:color w:val="000000"/>
          <w:shd w:val="clear" w:color="auto" w:fill="FFFFFF"/>
          <w:lang w:val="en-US"/>
        </w:rPr>
        <w:t>.</w:t>
      </w:r>
      <w:r>
        <w:rPr>
          <w:color w:val="000000"/>
          <w:shd w:val="clear" w:color="auto" w:fill="FFFFFF"/>
          <w:lang w:val="en-US"/>
        </w:rPr>
        <w:t xml:space="preserve"> After 24 h cells were harvested </w:t>
      </w:r>
      <w:r w:rsidRPr="00B57626">
        <w:rPr>
          <w:color w:val="000000"/>
          <w:shd w:val="clear" w:color="auto" w:fill="FFFFFF"/>
          <w:lang w:val="en-US"/>
        </w:rPr>
        <w:t>by trypsinization</w:t>
      </w:r>
      <w:r>
        <w:rPr>
          <w:color w:val="000000"/>
          <w:shd w:val="clear" w:color="auto" w:fill="FFFFFF"/>
          <w:lang w:val="en-US"/>
        </w:rPr>
        <w:t xml:space="preserve"> and </w:t>
      </w:r>
      <w:r w:rsidRPr="007171AD">
        <w:rPr>
          <w:color w:val="000000"/>
          <w:shd w:val="clear" w:color="auto" w:fill="FFFFFF"/>
          <w:lang w:val="en-US"/>
        </w:rPr>
        <w:t>DNA content was analyzed</w:t>
      </w:r>
      <w:r>
        <w:rPr>
          <w:color w:val="000000"/>
          <w:shd w:val="clear" w:color="auto" w:fill="FFFFFF"/>
          <w:lang w:val="en-US"/>
        </w:rPr>
        <w:t xml:space="preserve"> </w:t>
      </w:r>
      <w:r w:rsidRPr="007171AD">
        <w:rPr>
          <w:color w:val="000000"/>
          <w:shd w:val="clear" w:color="auto" w:fill="FFFFFF"/>
          <w:lang w:val="en-US"/>
        </w:rPr>
        <w:t xml:space="preserve">using the </w:t>
      </w:r>
      <w:r>
        <w:rPr>
          <w:color w:val="000000"/>
          <w:shd w:val="clear" w:color="auto" w:fill="FFFFFF"/>
          <w:lang w:val="en-US"/>
        </w:rPr>
        <w:t>MUSE</w:t>
      </w:r>
      <w:r w:rsidRPr="00A84496">
        <w:rPr>
          <w:color w:val="000000"/>
          <w:shd w:val="clear" w:color="auto" w:fill="FFFFFF"/>
          <w:vertAlign w:val="superscript"/>
          <w:lang w:val="en-US"/>
        </w:rPr>
        <w:t>®</w:t>
      </w:r>
      <w:r>
        <w:rPr>
          <w:color w:val="000000"/>
          <w:shd w:val="clear" w:color="auto" w:fill="FFFFFF"/>
          <w:lang w:val="en-US"/>
        </w:rPr>
        <w:t xml:space="preserve"> Cell Analyzer </w:t>
      </w:r>
      <w:r w:rsidRPr="007171AD">
        <w:rPr>
          <w:color w:val="000000"/>
          <w:shd w:val="clear" w:color="auto" w:fill="FFFFFF"/>
          <w:lang w:val="en-US"/>
        </w:rPr>
        <w:t>(Merck Millipore, Ge</w:t>
      </w:r>
      <w:r>
        <w:rPr>
          <w:color w:val="000000"/>
          <w:shd w:val="clear" w:color="auto" w:fill="FFFFFF"/>
          <w:lang w:val="en-US"/>
        </w:rPr>
        <w:t>rmany) with a Millipore’s Muse Cell Cycle Assay K</w:t>
      </w:r>
      <w:r w:rsidRPr="007171AD">
        <w:rPr>
          <w:color w:val="000000"/>
          <w:shd w:val="clear" w:color="auto" w:fill="FFFFFF"/>
          <w:lang w:val="en-US"/>
        </w:rPr>
        <w:t>it (Catalog No. MCH100106</w:t>
      </w:r>
      <w:r>
        <w:rPr>
          <w:color w:val="000000"/>
          <w:shd w:val="clear" w:color="auto" w:fill="FFFFFF"/>
          <w:lang w:val="en-US"/>
        </w:rPr>
        <w:t>,</w:t>
      </w:r>
      <w:r w:rsidRPr="007171AD">
        <w:rPr>
          <w:color w:val="000000"/>
          <w:shd w:val="clear" w:color="auto" w:fill="FFFFFF"/>
          <w:lang w:val="en-US"/>
        </w:rPr>
        <w:t xml:space="preserve"> Merck Millipore, Germany)</w:t>
      </w:r>
      <w:r>
        <w:rPr>
          <w:color w:val="000000"/>
          <w:shd w:val="clear" w:color="auto" w:fill="FFFFFF"/>
          <w:lang w:val="en-US"/>
        </w:rPr>
        <w:t xml:space="preserve">, </w:t>
      </w:r>
      <w:r w:rsidRPr="00B57626">
        <w:rPr>
          <w:color w:val="000000"/>
          <w:shd w:val="clear" w:color="auto" w:fill="FFFFFF"/>
          <w:lang w:val="en-US"/>
        </w:rPr>
        <w:t>according to the manufacturer’s inst</w:t>
      </w:r>
      <w:r>
        <w:rPr>
          <w:color w:val="000000"/>
          <w:shd w:val="clear" w:color="auto" w:fill="FFFFFF"/>
          <w:lang w:val="en-US"/>
        </w:rPr>
        <w:t xml:space="preserve">ructions. Briefly, cells samples were </w:t>
      </w:r>
      <w:r w:rsidRPr="003F5A3B">
        <w:rPr>
          <w:color w:val="000000"/>
          <w:shd w:val="clear" w:color="auto" w:fill="FFFFFF"/>
          <w:lang w:val="en-US"/>
        </w:rPr>
        <w:t>centrifuged at 300</w:t>
      </w:r>
      <w:r>
        <w:rPr>
          <w:color w:val="000000"/>
          <w:shd w:val="clear" w:color="auto" w:fill="FFFFFF"/>
          <w:lang w:val="en-US"/>
        </w:rPr>
        <w:t xml:space="preserve"> </w:t>
      </w:r>
      <w:r w:rsidRPr="003F5A3B">
        <w:rPr>
          <w:color w:val="000000"/>
          <w:shd w:val="clear" w:color="auto" w:fill="FFFFFF"/>
          <w:lang w:val="en-US"/>
        </w:rPr>
        <w:t>x</w:t>
      </w:r>
      <w:r>
        <w:rPr>
          <w:color w:val="000000"/>
          <w:shd w:val="clear" w:color="auto" w:fill="FFFFFF"/>
          <w:lang w:val="en-US"/>
        </w:rPr>
        <w:t xml:space="preserve"> </w:t>
      </w:r>
      <w:r w:rsidRPr="00521508">
        <w:rPr>
          <w:i/>
          <w:color w:val="000000"/>
          <w:shd w:val="clear" w:color="auto" w:fill="FFFFFF"/>
          <w:lang w:val="en-US"/>
        </w:rPr>
        <w:t>g</w:t>
      </w:r>
      <w:r w:rsidRPr="003F5A3B">
        <w:rPr>
          <w:color w:val="000000"/>
          <w:shd w:val="clear" w:color="auto" w:fill="FFFFFF"/>
          <w:lang w:val="en-US"/>
        </w:rPr>
        <w:t xml:space="preserve"> for 5 min</w:t>
      </w:r>
      <w:r>
        <w:rPr>
          <w:color w:val="000000"/>
          <w:shd w:val="clear" w:color="auto" w:fill="FFFFFF"/>
          <w:lang w:val="en-US"/>
        </w:rPr>
        <w:t>utes</w:t>
      </w:r>
      <w:r w:rsidRPr="003F5A3B">
        <w:rPr>
          <w:color w:val="000000"/>
          <w:shd w:val="clear" w:color="auto" w:fill="FFFFFF"/>
          <w:lang w:val="en-US"/>
        </w:rPr>
        <w:t xml:space="preserve"> and after removing </w:t>
      </w:r>
      <w:r>
        <w:rPr>
          <w:color w:val="000000"/>
          <w:shd w:val="clear" w:color="auto" w:fill="FFFFFF"/>
          <w:lang w:val="en-US"/>
        </w:rPr>
        <w:t>the supernatant, 1 ml</w:t>
      </w:r>
      <w:r w:rsidRPr="003F5A3B">
        <w:rPr>
          <w:color w:val="000000"/>
          <w:shd w:val="clear" w:color="auto" w:fill="FFFFFF"/>
          <w:lang w:val="en-US"/>
        </w:rPr>
        <w:t xml:space="preserve"> of PBS per 1</w:t>
      </w:r>
      <w:r>
        <w:rPr>
          <w:color w:val="000000"/>
          <w:shd w:val="clear" w:color="auto" w:fill="FFFFFF"/>
          <w:lang w:val="en-US"/>
        </w:rPr>
        <w:t xml:space="preserve"> </w:t>
      </w:r>
      <w:r w:rsidRPr="003F5A3B">
        <w:rPr>
          <w:color w:val="000000"/>
          <w:shd w:val="clear" w:color="auto" w:fill="FFFFFF"/>
          <w:lang w:val="en-US"/>
        </w:rPr>
        <w:t>×</w:t>
      </w:r>
      <w:r>
        <w:rPr>
          <w:color w:val="000000"/>
          <w:shd w:val="clear" w:color="auto" w:fill="FFFFFF"/>
          <w:lang w:val="en-US"/>
        </w:rPr>
        <w:t xml:space="preserve"> </w:t>
      </w:r>
      <w:r w:rsidRPr="003F5A3B">
        <w:rPr>
          <w:color w:val="000000"/>
          <w:shd w:val="clear" w:color="auto" w:fill="FFFFFF"/>
          <w:lang w:val="en-US"/>
        </w:rPr>
        <w:t>10</w:t>
      </w:r>
      <w:r w:rsidRPr="003F5A3B">
        <w:rPr>
          <w:color w:val="000000"/>
          <w:shd w:val="clear" w:color="auto" w:fill="FFFFFF"/>
          <w:vertAlign w:val="superscript"/>
          <w:lang w:val="en-US"/>
        </w:rPr>
        <w:t xml:space="preserve">6 </w:t>
      </w:r>
      <w:r>
        <w:rPr>
          <w:color w:val="000000"/>
          <w:shd w:val="clear" w:color="auto" w:fill="FFFFFF"/>
          <w:lang w:val="en-US"/>
        </w:rPr>
        <w:t>cells was added to each tube</w:t>
      </w:r>
      <w:r w:rsidRPr="003F5A3B">
        <w:rPr>
          <w:color w:val="000000"/>
          <w:shd w:val="clear" w:color="auto" w:fill="FFFFFF"/>
          <w:lang w:val="en-US"/>
        </w:rPr>
        <w:t>.</w:t>
      </w:r>
      <w:r>
        <w:rPr>
          <w:color w:val="000000"/>
          <w:shd w:val="clear" w:color="auto" w:fill="FFFFFF"/>
          <w:lang w:val="en-US"/>
        </w:rPr>
        <w:t xml:space="preserve"> Then, appropriate volume </w:t>
      </w:r>
      <w:r w:rsidRPr="003F5A3B">
        <w:rPr>
          <w:color w:val="000000"/>
          <w:shd w:val="clear" w:color="auto" w:fill="FFFFFF"/>
          <w:lang w:val="en-US"/>
        </w:rPr>
        <w:t>of ice cold 70% ethanol was added</w:t>
      </w:r>
      <w:r>
        <w:rPr>
          <w:color w:val="000000"/>
          <w:shd w:val="clear" w:color="auto" w:fill="FFFFFF"/>
          <w:lang w:val="en-US"/>
        </w:rPr>
        <w:t xml:space="preserve"> </w:t>
      </w:r>
      <w:r w:rsidRPr="003F5A3B">
        <w:rPr>
          <w:color w:val="000000"/>
          <w:shd w:val="clear" w:color="auto" w:fill="FFFFFF"/>
          <w:lang w:val="en-US"/>
        </w:rPr>
        <w:t>to the re-suspending cell pellet in the residual PBS</w:t>
      </w:r>
      <w:r>
        <w:rPr>
          <w:color w:val="000000"/>
          <w:shd w:val="clear" w:color="auto" w:fill="FFFFFF"/>
          <w:lang w:val="en-US"/>
        </w:rPr>
        <w:t xml:space="preserve"> for the cell fixation. After 3 h, </w:t>
      </w:r>
      <w:r w:rsidRPr="003F5A3B">
        <w:rPr>
          <w:color w:val="000000"/>
          <w:shd w:val="clear" w:color="auto" w:fill="FFFFFF"/>
          <w:lang w:val="en-US"/>
        </w:rPr>
        <w:t>fixed cells were</w:t>
      </w:r>
      <w:r>
        <w:rPr>
          <w:color w:val="000000"/>
          <w:shd w:val="clear" w:color="auto" w:fill="FFFFFF"/>
          <w:lang w:val="en-US"/>
        </w:rPr>
        <w:t xml:space="preserve"> centrifuged again at 300 x </w:t>
      </w:r>
      <w:r w:rsidRPr="00521508">
        <w:rPr>
          <w:i/>
          <w:color w:val="000000"/>
          <w:shd w:val="clear" w:color="auto" w:fill="FFFFFF"/>
          <w:lang w:val="en-US"/>
        </w:rPr>
        <w:t>g</w:t>
      </w:r>
      <w:r>
        <w:rPr>
          <w:color w:val="000000"/>
          <w:shd w:val="clear" w:color="auto" w:fill="FFFFFF"/>
          <w:lang w:val="en-US"/>
        </w:rPr>
        <w:t xml:space="preserve"> for 5 minutes </w:t>
      </w:r>
      <w:r w:rsidRPr="000232B1">
        <w:rPr>
          <w:color w:val="000000"/>
          <w:shd w:val="clear" w:color="auto" w:fill="FFFFFF"/>
          <w:lang w:val="en-US"/>
        </w:rPr>
        <w:t>and cell p</w:t>
      </w:r>
      <w:r>
        <w:rPr>
          <w:color w:val="000000"/>
          <w:shd w:val="clear" w:color="auto" w:fill="FFFFFF"/>
          <w:lang w:val="en-US"/>
        </w:rPr>
        <w:t>ellet was re-suspended in 200 µl</w:t>
      </w:r>
      <w:r w:rsidRPr="000232B1">
        <w:rPr>
          <w:color w:val="000000"/>
          <w:shd w:val="clear" w:color="auto" w:fill="FFFFFF"/>
          <w:lang w:val="en-US"/>
        </w:rPr>
        <w:t xml:space="preserve"> of Muse Cell Cycle Reagent</w:t>
      </w:r>
      <w:r>
        <w:rPr>
          <w:color w:val="000000"/>
          <w:shd w:val="clear" w:color="auto" w:fill="FFFFFF"/>
          <w:lang w:val="en-US"/>
        </w:rPr>
        <w:t>,</w:t>
      </w:r>
      <w:r w:rsidRPr="000232B1">
        <w:rPr>
          <w:color w:val="000000"/>
          <w:shd w:val="clear" w:color="auto" w:fill="FFFFFF"/>
          <w:lang w:val="en-US"/>
        </w:rPr>
        <w:t xml:space="preserve"> and </w:t>
      </w:r>
      <w:r w:rsidRPr="00DF7614">
        <w:rPr>
          <w:shd w:val="clear" w:color="auto" w:fill="FFFFFF"/>
          <w:lang w:val="en-US"/>
        </w:rPr>
        <w:t xml:space="preserve">incubated for 30 min at room temperature, in the dark. For analysis, samples were transferred into 1.5 ml </w:t>
      </w:r>
      <w:r w:rsidRPr="00220518">
        <w:rPr>
          <w:color w:val="000000"/>
          <w:shd w:val="clear" w:color="auto" w:fill="FFFFFF"/>
          <w:lang w:val="en-US"/>
        </w:rPr>
        <w:t>microcentrifuge tubes</w:t>
      </w:r>
      <w:r>
        <w:rPr>
          <w:color w:val="000000"/>
          <w:shd w:val="clear" w:color="auto" w:fill="FFFFFF"/>
          <w:lang w:val="en-US"/>
        </w:rPr>
        <w:t>. Three</w:t>
      </w:r>
      <w:r w:rsidRPr="007171AD">
        <w:rPr>
          <w:color w:val="000000"/>
          <w:shd w:val="clear" w:color="auto" w:fill="FFFFFF"/>
          <w:lang w:val="en-US"/>
        </w:rPr>
        <w:t xml:space="preserve"> indepen</w:t>
      </w:r>
      <w:r>
        <w:rPr>
          <w:color w:val="000000"/>
          <w:shd w:val="clear" w:color="auto" w:fill="FFFFFF"/>
          <w:lang w:val="en-US"/>
        </w:rPr>
        <w:t xml:space="preserve">dent experiments were conducted, and </w:t>
      </w:r>
      <w:r w:rsidRPr="00536A69">
        <w:rPr>
          <w:color w:val="000000"/>
          <w:shd w:val="clear" w:color="auto" w:fill="FFFFFF"/>
          <w:lang w:val="en-US"/>
        </w:rPr>
        <w:t xml:space="preserve">the mean </w:t>
      </w:r>
      <w:r w:rsidR="00C31574">
        <w:rPr>
          <w:color w:val="000000"/>
          <w:shd w:val="clear" w:color="auto" w:fill="FFFFFF"/>
          <w:lang w:val="en-US"/>
        </w:rPr>
        <w:t>p</w:t>
      </w:r>
      <w:r w:rsidR="00C31574" w:rsidRPr="00C31574">
        <w:rPr>
          <w:color w:val="000000"/>
          <w:shd w:val="clear" w:color="auto" w:fill="FFFFFF"/>
          <w:lang w:val="en-US"/>
        </w:rPr>
        <w:t>ropidium iodide</w:t>
      </w:r>
      <w:r w:rsidR="00C31574">
        <w:rPr>
          <w:color w:val="000000"/>
          <w:shd w:val="clear" w:color="auto" w:fill="FFFFFF"/>
          <w:lang w:val="en-US"/>
        </w:rPr>
        <w:t xml:space="preserve"> (</w:t>
      </w:r>
      <w:r w:rsidRPr="00536A69">
        <w:rPr>
          <w:color w:val="000000"/>
          <w:shd w:val="clear" w:color="auto" w:fill="FFFFFF"/>
          <w:lang w:val="en-US"/>
        </w:rPr>
        <w:t>PI</w:t>
      </w:r>
      <w:r w:rsidR="00C31574">
        <w:rPr>
          <w:color w:val="000000"/>
          <w:shd w:val="clear" w:color="auto" w:fill="FFFFFF"/>
          <w:lang w:val="en-US"/>
        </w:rPr>
        <w:t>)</w:t>
      </w:r>
      <w:r w:rsidRPr="00536A69">
        <w:rPr>
          <w:color w:val="000000"/>
          <w:shd w:val="clear" w:color="auto" w:fill="FFFFFF"/>
          <w:lang w:val="en-US"/>
        </w:rPr>
        <w:t xml:space="preserve"> fluorescence intensity was obtained from 10,000 cells.</w:t>
      </w:r>
    </w:p>
    <w:p w:rsidR="00FD1E7C" w:rsidRPr="00F35D5C" w:rsidRDefault="00FD1E7C" w:rsidP="00C340C0">
      <w:pPr>
        <w:autoSpaceDE w:val="0"/>
        <w:autoSpaceDN w:val="0"/>
        <w:adjustRightInd w:val="0"/>
        <w:spacing w:line="480" w:lineRule="auto"/>
        <w:rPr>
          <w:lang w:val="en-US"/>
        </w:rPr>
      </w:pPr>
    </w:p>
    <w:p w:rsidR="00FD1E7C" w:rsidRPr="003352F2" w:rsidRDefault="00C12BDC" w:rsidP="00C340C0">
      <w:pPr>
        <w:autoSpaceDE w:val="0"/>
        <w:autoSpaceDN w:val="0"/>
        <w:adjustRightInd w:val="0"/>
        <w:spacing w:line="480" w:lineRule="auto"/>
        <w:rPr>
          <w:b/>
          <w:lang w:val="en-US"/>
        </w:rPr>
      </w:pPr>
      <w:r w:rsidRPr="003352F2">
        <w:rPr>
          <w:b/>
          <w:lang w:val="en-US"/>
        </w:rPr>
        <w:t xml:space="preserve">3. </w:t>
      </w:r>
      <w:r w:rsidR="00FD1E7C" w:rsidRPr="003352F2">
        <w:rPr>
          <w:b/>
          <w:lang w:val="en-US"/>
        </w:rPr>
        <w:t xml:space="preserve">RESULTS </w:t>
      </w:r>
    </w:p>
    <w:p w:rsidR="00FD1E7C" w:rsidRPr="002E21B6" w:rsidRDefault="00FD1E7C" w:rsidP="00B60A91">
      <w:pPr>
        <w:autoSpaceDE w:val="0"/>
        <w:autoSpaceDN w:val="0"/>
        <w:adjustRightInd w:val="0"/>
        <w:spacing w:line="480" w:lineRule="auto"/>
        <w:rPr>
          <w:color w:val="FF0000"/>
          <w:lang w:val="en-US"/>
        </w:rPr>
      </w:pPr>
      <w:r w:rsidRPr="000D54D9">
        <w:rPr>
          <w:lang w:val="en-US"/>
        </w:rPr>
        <w:t>The cytotoxicity effect of selected drugs was measured after thre</w:t>
      </w:r>
      <w:r>
        <w:rPr>
          <w:lang w:val="en-US"/>
        </w:rPr>
        <w:t>e different periods of time (24 h</w:t>
      </w:r>
      <w:r w:rsidRPr="000D54D9">
        <w:rPr>
          <w:lang w:val="en-US"/>
        </w:rPr>
        <w:t>, 48 h and 7 days)</w:t>
      </w:r>
      <w:r>
        <w:rPr>
          <w:lang w:val="en-US"/>
        </w:rPr>
        <w:t xml:space="preserve">, and </w:t>
      </w:r>
      <w:r w:rsidR="00C31574">
        <w:rPr>
          <w:lang w:val="en-US"/>
        </w:rPr>
        <w:t>human dermal fibroblasts</w:t>
      </w:r>
      <w:r>
        <w:rPr>
          <w:lang w:val="en-US"/>
        </w:rPr>
        <w:t xml:space="preserve"> were </w:t>
      </w:r>
      <w:r w:rsidRPr="00C77EF8">
        <w:rPr>
          <w:lang w:val="en-US"/>
        </w:rPr>
        <w:t>exposed to a range of concentrations of each agent</w:t>
      </w:r>
      <w:r>
        <w:rPr>
          <w:lang w:val="en-US"/>
        </w:rPr>
        <w:t>. I</w:t>
      </w:r>
      <w:r w:rsidRPr="00246C16">
        <w:rPr>
          <w:lang w:val="en-US"/>
        </w:rPr>
        <w:t>t is worth noting</w:t>
      </w:r>
      <w:r>
        <w:rPr>
          <w:lang w:val="en-US"/>
        </w:rPr>
        <w:t xml:space="preserve"> that t</w:t>
      </w:r>
      <w:r w:rsidRPr="000D54D9">
        <w:rPr>
          <w:lang w:val="en-US"/>
        </w:rPr>
        <w:t>he results presented in our recent studies indicate</w:t>
      </w:r>
      <w:r>
        <w:rPr>
          <w:lang w:val="en-US"/>
        </w:rPr>
        <w:t>d</w:t>
      </w:r>
      <w:r w:rsidRPr="000D54D9">
        <w:rPr>
          <w:lang w:val="en-US"/>
        </w:rPr>
        <w:t xml:space="preserve"> that indomethacin (IN) and nimesulide (NIM) </w:t>
      </w:r>
      <w:r>
        <w:rPr>
          <w:lang w:val="en-US"/>
        </w:rPr>
        <w:t xml:space="preserve">had little </w:t>
      </w:r>
      <w:r w:rsidRPr="000D54D9">
        <w:rPr>
          <w:lang w:val="en-US"/>
        </w:rPr>
        <w:t>cytotoxic effect</w:t>
      </w:r>
      <w:r>
        <w:rPr>
          <w:lang w:val="en-US"/>
        </w:rPr>
        <w:t xml:space="preserve"> on human dermal fibroblast, when used at clinically achievable concentrations. </w:t>
      </w:r>
      <w:r w:rsidRPr="000D54D9">
        <w:rPr>
          <w:lang w:val="en-US"/>
        </w:rPr>
        <w:t xml:space="preserve">However, statistically </w:t>
      </w:r>
      <w:r w:rsidRPr="00DF7614">
        <w:rPr>
          <w:lang w:val="en-US"/>
        </w:rPr>
        <w:t>significant (</w:t>
      </w:r>
      <w:r w:rsidR="00961D98" w:rsidRPr="00DF7614">
        <w:rPr>
          <w:lang w:val="en-US"/>
        </w:rPr>
        <w:t>P</w:t>
      </w:r>
      <w:r w:rsidRPr="00DF7614">
        <w:rPr>
          <w:lang w:val="en-US"/>
        </w:rPr>
        <w:t xml:space="preserve"> &lt; 0.05</w:t>
      </w:r>
      <w:r>
        <w:rPr>
          <w:lang w:val="en-US"/>
        </w:rPr>
        <w:t xml:space="preserve">, </w:t>
      </w:r>
      <w:r>
        <w:rPr>
          <w:rFonts w:ascii="TimesNewRoman" w:hAnsi="TimesNewRoman" w:cs="TimesNewRoman"/>
          <w:sz w:val="23"/>
          <w:szCs w:val="23"/>
          <w:lang w:val="en-US"/>
        </w:rPr>
        <w:t>ANOVA with Tukey’s HSD post-h</w:t>
      </w:r>
      <w:r w:rsidRPr="00773303">
        <w:rPr>
          <w:rFonts w:ascii="TimesNewRoman" w:hAnsi="TimesNewRoman" w:cs="TimesNewRoman"/>
          <w:sz w:val="23"/>
          <w:szCs w:val="23"/>
          <w:lang w:val="en-US"/>
        </w:rPr>
        <w:t>oc test</w:t>
      </w:r>
      <w:r>
        <w:rPr>
          <w:lang w:val="en-US"/>
        </w:rPr>
        <w:t>)</w:t>
      </w:r>
      <w:r w:rsidRPr="000D54D9">
        <w:rPr>
          <w:lang w:val="en-US"/>
        </w:rPr>
        <w:t xml:space="preserve"> adverse effect on cell growth was observed</w:t>
      </w:r>
      <w:r>
        <w:rPr>
          <w:lang w:val="en-US"/>
        </w:rPr>
        <w:t xml:space="preserve"> especially for indomethacin </w:t>
      </w:r>
      <w:r w:rsidR="006C4E42">
        <w:rPr>
          <w:noProof/>
          <w:lang w:val="en-US"/>
        </w:rPr>
        <w:fldChar w:fldCharType="begin" w:fldLock="1"/>
      </w:r>
      <w:r w:rsidR="00B8446D">
        <w:rPr>
          <w:noProof/>
          <w:lang w:val="en-US"/>
        </w:rPr>
        <w:instrText>ADDIN CSL_CITATION { "citationItems" : [ { "id" : "ITEM-1", "itemData" : { "DOI" : "10.1038/srep43154", "ISSN" : "2045-2322", "PMID" : "28240227", "abstract" : "In this report, selected non-steroidal anti-inflammatory drugs (NSAIDs), indomethacin and nimesulide, and analgesics acetaminophen, alone, as well as in combination with isoflavone genistein as potential glycosaminoglycan (GAG) metabolism modulators were considered for the treatment of mucopolysaccharidoses (MPSs) with neurological symptoms due to the effective blood-brain barrier (BBB) penetration properties of these compounds. We found that indomethacin and nimesulide, but not acetaminophen, inhibited GAG synthesis in fibroblasts significantly, while the most pronounced impairment of glycosaminoglycan production was observed after exposure to the mixture of nimesulide and genistein. Phosphorylation of the EGF receptor (EGFR) was inhibited even more effective in the presence of indomethacin and nimesulide than in the presence of genistein. When examined the activity of phosphatidylinositol-3-kinase (PI3K) production, we observed its most significant decrease in the case of fibroblast exposition to nimesulide, and afterwards to indomethacin and genistein mix, rather than indomethacin used alone. Some effects on expression of individual GAG metabolism-related and lysosomal function genes, and significant activity modulation of a number of genes involved in intracellular signal transduction pathways and metabolism of DNA and proteins were detected. This study documents that NSAIDs, and their mixtures with genistein modulate cellular glycosaminoglycan synthesis by affecting EGFR and PI3K signaling pathways.", "author" : [ { "dropping-particle" : "", "family" : "Mozolewski", "given" : "Pawe\u0142", "non-dropping-particle" : "", "parse-names" : false, "suffix" : "" }, { "dropping-particle" : "", "family" : "Moskot", "given" : "Marta", "non-dropping-particle" : "", "parse-names" : false, "suffix" : "" }, { "dropping-particle" : "", "family" : "Jak\u00f3bkiewicz-Banecka", "given" : "Joanna", "non-dropping-particle" : "", "parse-names" : false, "suffix" : "" }, { "dropping-particle" : "", "family" : "W\u0119grzyn", "given" : "Grzegorz", "non-dropping-particle" : "", "parse-names" : false, "suffix" : "" }, { "dropping-particle" : "", "family" : "Boche\u0144ska", "given" : "Katarzyna", "non-dropping-particle" : "", "parse-names" : false, "suffix" : "" }, { "dropping-particle" : "", "family" : "Banecki", "given" : "Bogdan", "non-dropping-particle" : "", "parse-names" : false, "suffix" : "" }, { "dropping-particle" : "", "family" : "Gabig-Cimi\u0144ska", "given" : "Magdalena", "non-dropping-particle" : "", "parse-names" : false, "suffix" : "" } ], "container-title" : "Scientific Reports", "id" : "ITEM-1", "issued" : { "date-parts" : [ [ "2017", "2", "27" ] ] }, "page" : "43154", "title" : "Nonsteroidal anti-inflammatory drugs modulate cellular glycosaminoglycan synthesis by affecting EGFR and PI3K signaling pathways", "type" : "article-journal", "volume" : "7" }, "uris" : [ "http://www.mendeley.com/documents/?uuid=bfbdee63-ccac-3591-bef6-6d50f68b8d8b" ] } ], "mendeley" : { "formattedCitation" : "(Mozolewski et al., 2017)", "plainTextFormattedCitation" : "(Mozolewski et al., 2017)", "previouslyFormattedCitation" : "(Mozolewski et al., 2017)" }, "properties" : { "noteIndex" : 0 }, "schema" : "https://github.com/citation-style-language/schema/raw/master/csl-citation.json" }</w:instrText>
      </w:r>
      <w:r w:rsidR="006C4E42">
        <w:rPr>
          <w:noProof/>
          <w:lang w:val="en-US"/>
        </w:rPr>
        <w:fldChar w:fldCharType="separate"/>
      </w:r>
      <w:r w:rsidR="00B8446D" w:rsidRPr="00B8446D">
        <w:rPr>
          <w:noProof/>
          <w:lang w:val="en-US"/>
        </w:rPr>
        <w:t>(Mozolewski et al., 2017)</w:t>
      </w:r>
      <w:r w:rsidR="006C4E42">
        <w:rPr>
          <w:noProof/>
          <w:lang w:val="en-US"/>
        </w:rPr>
        <w:fldChar w:fldCharType="end"/>
      </w:r>
      <w:r w:rsidRPr="004256FC">
        <w:rPr>
          <w:lang w:val="en-US"/>
        </w:rPr>
        <w:t>.</w:t>
      </w:r>
      <w:r w:rsidRPr="000D54D9">
        <w:rPr>
          <w:lang w:val="en-US"/>
        </w:rPr>
        <w:t xml:space="preserve"> </w:t>
      </w:r>
      <w:r>
        <w:rPr>
          <w:lang w:val="en-US"/>
        </w:rPr>
        <w:t xml:space="preserve">In this study estimated concentrations of tested compounds lethal to 25, 50 or 75% </w:t>
      </w:r>
      <w:r w:rsidR="00232323">
        <w:rPr>
          <w:lang w:val="en-US"/>
        </w:rPr>
        <w:t>(LC</w:t>
      </w:r>
      <w:r w:rsidR="00232323" w:rsidRPr="00232323">
        <w:rPr>
          <w:vertAlign w:val="subscript"/>
          <w:lang w:val="en-US"/>
        </w:rPr>
        <w:t>25</w:t>
      </w:r>
      <w:r w:rsidR="00232323">
        <w:rPr>
          <w:lang w:val="en-US"/>
        </w:rPr>
        <w:t>, LC</w:t>
      </w:r>
      <w:r w:rsidR="00232323" w:rsidRPr="00232323">
        <w:rPr>
          <w:vertAlign w:val="subscript"/>
          <w:lang w:val="en-US"/>
        </w:rPr>
        <w:t>50</w:t>
      </w:r>
      <w:r w:rsidR="00232323">
        <w:rPr>
          <w:lang w:val="en-US"/>
        </w:rPr>
        <w:t xml:space="preserve"> or LC</w:t>
      </w:r>
      <w:r w:rsidR="00232323" w:rsidRPr="00232323">
        <w:rPr>
          <w:vertAlign w:val="subscript"/>
          <w:lang w:val="en-US"/>
        </w:rPr>
        <w:t>75</w:t>
      </w:r>
      <w:r w:rsidR="00232323">
        <w:rPr>
          <w:lang w:val="en-US"/>
        </w:rPr>
        <w:t xml:space="preserve"> respectively) </w:t>
      </w:r>
      <w:r>
        <w:rPr>
          <w:lang w:val="en-US"/>
        </w:rPr>
        <w:t>of HDFa cells in cultures exposed to selected drugs for 7 days (</w:t>
      </w:r>
      <w:r w:rsidR="000F35AB">
        <w:rPr>
          <w:lang w:val="en-US"/>
        </w:rPr>
        <w:t>Tab.</w:t>
      </w:r>
      <w:r w:rsidR="00B719C0">
        <w:rPr>
          <w:lang w:val="en-US"/>
        </w:rPr>
        <w:t xml:space="preserve"> a</w:t>
      </w:r>
      <w:r w:rsidRPr="00585C3F">
        <w:rPr>
          <w:lang w:val="en-US"/>
        </w:rPr>
        <w:t xml:space="preserve">). </w:t>
      </w:r>
      <w:r w:rsidR="006968A0">
        <w:rPr>
          <w:lang w:val="en-US"/>
        </w:rPr>
        <w:t xml:space="preserve">By definition, the lower concentration of tested drug causing the death of indicated number of cells the more cytotoxic activity is revealed. </w:t>
      </w:r>
      <w:r w:rsidRPr="00585C3F">
        <w:rPr>
          <w:lang w:val="en-US"/>
        </w:rPr>
        <w:t>The lethal</w:t>
      </w:r>
      <w:r w:rsidR="00232323">
        <w:rPr>
          <w:lang w:val="en-US"/>
        </w:rPr>
        <w:t xml:space="preserve"> concentrations </w:t>
      </w:r>
      <w:r w:rsidRPr="00585C3F">
        <w:rPr>
          <w:lang w:val="en-US"/>
        </w:rPr>
        <w:t xml:space="preserve">of indomethacin were noticeably lower than those observed for nimesulide, thus confirming that cytotoxic effects occurred more acutely after treatment with indomethacin. </w:t>
      </w:r>
      <w:r>
        <w:rPr>
          <w:lang w:val="en-US"/>
        </w:rPr>
        <w:t>Additionally, during c</w:t>
      </w:r>
      <w:r w:rsidRPr="00B60A91">
        <w:rPr>
          <w:lang w:val="en-US"/>
        </w:rPr>
        <w:t>ytotoxicity assays</w:t>
      </w:r>
      <w:r>
        <w:rPr>
          <w:lang w:val="en-US"/>
        </w:rPr>
        <w:t>, light microscopy observatio</w:t>
      </w:r>
      <w:r w:rsidR="00410836">
        <w:rPr>
          <w:lang w:val="en-US"/>
        </w:rPr>
        <w:t>ns w</w:t>
      </w:r>
      <w:r w:rsidR="00315924">
        <w:rPr>
          <w:lang w:val="en-US"/>
        </w:rPr>
        <w:t>ere conducted in this study. N</w:t>
      </w:r>
      <w:r>
        <w:rPr>
          <w:lang w:val="en-US"/>
        </w:rPr>
        <w:t xml:space="preserve">o </w:t>
      </w:r>
      <w:r w:rsidRPr="008D5871">
        <w:rPr>
          <w:lang w:val="en-US"/>
        </w:rPr>
        <w:t xml:space="preserve">influence of </w:t>
      </w:r>
      <w:r>
        <w:rPr>
          <w:lang w:val="en-US"/>
        </w:rPr>
        <w:t xml:space="preserve">tested substances </w:t>
      </w:r>
      <w:r w:rsidRPr="008D5871">
        <w:rPr>
          <w:lang w:val="en-US"/>
        </w:rPr>
        <w:t>on</w:t>
      </w:r>
      <w:r>
        <w:rPr>
          <w:lang w:val="en-US"/>
        </w:rPr>
        <w:t xml:space="preserve"> cell morphology was visible (data not shown).</w:t>
      </w:r>
    </w:p>
    <w:p w:rsidR="00FD1E7C" w:rsidRDefault="00FD1E7C" w:rsidP="0031184B">
      <w:pPr>
        <w:autoSpaceDE w:val="0"/>
        <w:autoSpaceDN w:val="0"/>
        <w:adjustRightInd w:val="0"/>
        <w:spacing w:line="480" w:lineRule="auto"/>
        <w:ind w:firstLine="708"/>
        <w:rPr>
          <w:lang w:val="en-US"/>
        </w:rPr>
      </w:pPr>
      <w:r w:rsidRPr="00544F97">
        <w:rPr>
          <w:lang w:val="en-US"/>
        </w:rPr>
        <w:t xml:space="preserve">There is a significant knowledge gap regarding </w:t>
      </w:r>
      <w:r w:rsidRPr="00407293">
        <w:rPr>
          <w:lang w:val="en-US"/>
        </w:rPr>
        <w:t xml:space="preserve">the effects of </w:t>
      </w:r>
      <w:r w:rsidR="00C31574">
        <w:rPr>
          <w:lang w:val="en-US"/>
        </w:rPr>
        <w:t>non-steroidal anti-inflammatory drugs</w:t>
      </w:r>
      <w:r w:rsidRPr="00407293">
        <w:rPr>
          <w:lang w:val="en-US"/>
        </w:rPr>
        <w:t xml:space="preserve"> on global RNA expression in cells</w:t>
      </w:r>
      <w:r>
        <w:rPr>
          <w:lang w:val="en-US"/>
        </w:rPr>
        <w:t>.</w:t>
      </w:r>
      <w:r w:rsidRPr="00407293">
        <w:rPr>
          <w:lang w:val="en-US"/>
        </w:rPr>
        <w:t xml:space="preserve"> </w:t>
      </w:r>
      <w:r>
        <w:rPr>
          <w:lang w:val="en-US"/>
        </w:rPr>
        <w:t>To test the effect of</w:t>
      </w:r>
      <w:r w:rsidRPr="00540B2D">
        <w:rPr>
          <w:lang w:val="en-US"/>
        </w:rPr>
        <w:t xml:space="preserve"> </w:t>
      </w:r>
      <w:r>
        <w:rPr>
          <w:lang w:val="en-US"/>
        </w:rPr>
        <w:t>selected NSAIDs on</w:t>
      </w:r>
      <w:r w:rsidRPr="00540B2D">
        <w:rPr>
          <w:lang w:val="en-US"/>
        </w:rPr>
        <w:t xml:space="preserve"> </w:t>
      </w:r>
      <w:r>
        <w:rPr>
          <w:lang w:val="en-US"/>
        </w:rPr>
        <w:t>whole-transcriptome profile studies using microarray technique were performed.</w:t>
      </w:r>
      <w:r w:rsidRPr="00A87E4E">
        <w:rPr>
          <w:lang w:val="en-US"/>
        </w:rPr>
        <w:t xml:space="preserve"> </w:t>
      </w:r>
      <w:r>
        <w:rPr>
          <w:lang w:val="en-US"/>
        </w:rPr>
        <w:t xml:space="preserve">In the previous work we found that </w:t>
      </w:r>
      <w:r w:rsidRPr="00502D67">
        <w:rPr>
          <w:lang w:val="en-US"/>
        </w:rPr>
        <w:t>non</w:t>
      </w:r>
      <w:r>
        <w:rPr>
          <w:lang w:val="en-US"/>
        </w:rPr>
        <w:t>-</w:t>
      </w:r>
      <w:r w:rsidRPr="00502D67">
        <w:rPr>
          <w:lang w:val="en-US"/>
        </w:rPr>
        <w:t>steroidal</w:t>
      </w:r>
      <w:r w:rsidRPr="0068602B">
        <w:rPr>
          <w:lang w:val="en-US"/>
        </w:rPr>
        <w:t xml:space="preserve"> anti-inflammatory drugs modulate cellular glycosaminoglycan synthesis by affecting </w:t>
      </w:r>
      <w:r w:rsidR="00C31574">
        <w:rPr>
          <w:lang w:val="en-US"/>
        </w:rPr>
        <w:t>epidermal growth factor receptor (</w:t>
      </w:r>
      <w:r w:rsidRPr="0068602B">
        <w:rPr>
          <w:lang w:val="en-US"/>
        </w:rPr>
        <w:t>EGFR</w:t>
      </w:r>
      <w:r w:rsidR="00C31574">
        <w:rPr>
          <w:lang w:val="en-US"/>
        </w:rPr>
        <w:t>)</w:t>
      </w:r>
      <w:r w:rsidRPr="0068602B">
        <w:rPr>
          <w:lang w:val="en-US"/>
        </w:rPr>
        <w:t xml:space="preserve"> and </w:t>
      </w:r>
      <w:r w:rsidR="007B29A0" w:rsidRPr="007B29A0">
        <w:rPr>
          <w:lang w:val="en-US"/>
        </w:rPr>
        <w:t>phosphoinositide 3-kinase</w:t>
      </w:r>
      <w:r w:rsidR="007B29A0">
        <w:rPr>
          <w:lang w:val="en-US"/>
        </w:rPr>
        <w:t xml:space="preserve"> (</w:t>
      </w:r>
      <w:r w:rsidRPr="0068602B">
        <w:rPr>
          <w:lang w:val="en-US"/>
        </w:rPr>
        <w:t>PI3K</w:t>
      </w:r>
      <w:r w:rsidR="007B29A0">
        <w:rPr>
          <w:lang w:val="en-US"/>
        </w:rPr>
        <w:t>)</w:t>
      </w:r>
      <w:r w:rsidRPr="0068602B">
        <w:rPr>
          <w:lang w:val="en-US"/>
        </w:rPr>
        <w:t xml:space="preserve"> signaling pathways</w:t>
      </w:r>
      <w:r>
        <w:rPr>
          <w:lang w:val="en-US"/>
        </w:rPr>
        <w:t xml:space="preserve"> </w:t>
      </w:r>
      <w:r w:rsidR="006C4E42">
        <w:rPr>
          <w:lang w:val="en-US"/>
        </w:rPr>
        <w:fldChar w:fldCharType="begin" w:fldLock="1"/>
      </w:r>
      <w:r w:rsidR="00B8446D">
        <w:rPr>
          <w:lang w:val="en-US"/>
        </w:rPr>
        <w:instrText>ADDIN CSL_CITATION { "citationItems" : [ { "id" : "ITEM-1", "itemData" : { "DOI" : "10.1038/srep43154", "ISSN" : "2045-2322", "PMID" : "28240227", "abstract" : "In this report, selected non-steroidal anti-inflammatory drugs (NSAIDs), indomethacin and nimesulide, and analgesics acetaminophen, alone, as well as in combination with isoflavone genistein as potential glycosaminoglycan (GAG) metabolism modulators were considered for the treatment of mucopolysaccharidoses (MPSs) with neurological symptoms due to the effective blood-brain barrier (BBB) penetration properties of these compounds. We found that indomethacin and nimesulide, but not acetaminophen, inhibited GAG synthesis in fibroblasts significantly, while the most pronounced impairment of glycosaminoglycan production was observed after exposure to the mixture of nimesulide and genistein. Phosphorylation of the EGF receptor (EGFR) was inhibited even more effective in the presence of indomethacin and nimesulide than in the presence of genistein. When examined the activity of phosphatidylinositol-3-kinase (PI3K) production, we observed its most significant decrease in the case of fibroblast exposition to nimesulide, and afterwards to indomethacin and genistein mix, rather than indomethacin used alone. Some effects on expression of individual GAG metabolism-related and lysosomal function genes, and significant activity modulation of a number of genes involved in intracellular signal transduction pathways and metabolism of DNA and proteins were detected. This study documents that NSAIDs, and their mixtures with genistein modulate cellular glycosaminoglycan synthesis by affecting EGFR and PI3K signaling pathways.", "author" : [ { "dropping-particle" : "", "family" : "Mozolewski", "given" : "Pawe\u0142", "non-dropping-particle" : "", "parse-names" : false, "suffix" : "" }, { "dropping-particle" : "", "family" : "Moskot", "given" : "Marta", "non-dropping-particle" : "", "parse-names" : false, "suffix" : "" }, { "dropping-particle" : "", "family" : "Jak\u00f3bkiewicz-Banecka", "given" : "Joanna", "non-dropping-particle" : "", "parse-names" : false, "suffix" : "" }, { "dropping-particle" : "", "family" : "W\u0119grzyn", "given" : "Grzegorz", "non-dropping-particle" : "", "parse-names" : false, "suffix" : "" }, { "dropping-particle" : "", "family" : "Boche\u0144ska", "given" : "Katarzyna", "non-dropping-particle" : "", "parse-names" : false, "suffix" : "" }, { "dropping-particle" : "", "family" : "Banecki", "given" : "Bogdan", "non-dropping-particle" : "", "parse-names" : false, "suffix" : "" }, { "dropping-particle" : "", "family" : "Gabig-Cimi\u0144ska", "given" : "Magdalena", "non-dropping-particle" : "", "parse-names" : false, "suffix" : "" } ], "container-title" : "Scientific Reports", "id" : "ITEM-1", "issued" : { "date-parts" : [ [ "2017", "2", "27" ] ] }, "page" : "43154", "title" : "Nonsteroidal anti-inflammatory drugs modulate cellular glycosaminoglycan synthesis by affecting EGFR and PI3K signaling pathways", "type" : "article-journal", "volume" : "7" }, "uris" : [ "http://www.mendeley.com/documents/?uuid=bfbdee63-ccac-3591-bef6-6d50f68b8d8b" ] } ], "mendeley" : { "formattedCitation" : "(Mozolewski et al., 2017)", "plainTextFormattedCitation" : "(Mozolewski et al., 2017)", "previouslyFormattedCitation" : "(Mozolewski et al., 2017)" }, "properties" : { "noteIndex" : 0 }, "schema" : "https://github.com/citation-style-language/schema/raw/master/csl-citation.json" }</w:instrText>
      </w:r>
      <w:r w:rsidR="006C4E42">
        <w:rPr>
          <w:lang w:val="en-US"/>
        </w:rPr>
        <w:fldChar w:fldCharType="separate"/>
      </w:r>
      <w:r w:rsidR="00B8446D" w:rsidRPr="00B8446D">
        <w:rPr>
          <w:noProof/>
          <w:lang w:val="en-US"/>
        </w:rPr>
        <w:t>(Mozolewski et al., 2017)</w:t>
      </w:r>
      <w:r w:rsidR="006C4E42">
        <w:rPr>
          <w:lang w:val="en-US"/>
        </w:rPr>
        <w:fldChar w:fldCharType="end"/>
      </w:r>
      <w:r>
        <w:rPr>
          <w:lang w:val="en-US"/>
        </w:rPr>
        <w:t xml:space="preserve">, while in current work, we put emphasis on global modulation of transcriptome in the context of their safety </w:t>
      </w:r>
      <w:r w:rsidRPr="00FC12E0">
        <w:rPr>
          <w:lang w:val="en-US"/>
        </w:rPr>
        <w:t xml:space="preserve">in normal, untransformed, </w:t>
      </w:r>
      <w:r>
        <w:rPr>
          <w:lang w:val="en-US"/>
        </w:rPr>
        <w:t xml:space="preserve">human </w:t>
      </w:r>
      <w:r w:rsidRPr="00FC12E0">
        <w:rPr>
          <w:lang w:val="en-US"/>
        </w:rPr>
        <w:t>cells</w:t>
      </w:r>
      <w:r>
        <w:rPr>
          <w:lang w:val="en-US"/>
        </w:rPr>
        <w:t xml:space="preserve">. Our microarray results were </w:t>
      </w:r>
      <w:r w:rsidRPr="00515A33">
        <w:rPr>
          <w:lang w:val="en-US"/>
        </w:rPr>
        <w:t>filtered based on desired pat</w:t>
      </w:r>
      <w:r>
        <w:rPr>
          <w:lang w:val="en-US"/>
        </w:rPr>
        <w:t>terns of expression (FC</w:t>
      </w:r>
      <w:r w:rsidRPr="00515A33">
        <w:rPr>
          <w:lang w:val="en-US"/>
        </w:rPr>
        <w:t xml:space="preserve"> of gene expression ratios </w:t>
      </w:r>
      <w:r w:rsidRPr="00DF7614">
        <w:rPr>
          <w:lang w:val="en-US"/>
        </w:rPr>
        <w:t xml:space="preserve">was ≥ 1.3 and ≤ 0.7, </w:t>
      </w:r>
      <w:r w:rsidR="00432223" w:rsidRPr="00DF7614">
        <w:rPr>
          <w:lang w:val="en-US"/>
        </w:rPr>
        <w:t>P</w:t>
      </w:r>
      <w:r w:rsidRPr="00DF7614">
        <w:rPr>
          <w:lang w:val="en-US"/>
        </w:rPr>
        <w:t xml:space="preserve"> &lt; 0.05)</w:t>
      </w:r>
      <w:r w:rsidR="007077D2" w:rsidRPr="00DF7614">
        <w:rPr>
          <w:lang w:val="en-US"/>
        </w:rPr>
        <w:t xml:space="preserve"> </w:t>
      </w:r>
      <w:r w:rsidR="007077D2">
        <w:rPr>
          <w:lang w:val="en-US"/>
        </w:rPr>
        <w:t>according to our previous work</w:t>
      </w:r>
      <w:r>
        <w:rPr>
          <w:lang w:val="en-US"/>
        </w:rPr>
        <w:t xml:space="preserve">. We found that changes in HDFa transcriptome signature after treatment </w:t>
      </w:r>
      <w:r w:rsidRPr="00B9183A">
        <w:rPr>
          <w:lang w:val="en-US"/>
        </w:rPr>
        <w:t xml:space="preserve">at </w:t>
      </w:r>
      <w:r>
        <w:rPr>
          <w:lang w:val="en-US"/>
        </w:rPr>
        <w:t xml:space="preserve">selected </w:t>
      </w:r>
      <w:r w:rsidRPr="00B9183A">
        <w:rPr>
          <w:lang w:val="en-US"/>
        </w:rPr>
        <w:t>experimental conditions</w:t>
      </w:r>
      <w:r>
        <w:rPr>
          <w:lang w:val="en-US"/>
        </w:rPr>
        <w:t xml:space="preserve"> were </w:t>
      </w:r>
      <w:r w:rsidRPr="007640D7">
        <w:rPr>
          <w:lang w:val="en-US"/>
        </w:rPr>
        <w:t>smallish</w:t>
      </w:r>
      <w:r>
        <w:rPr>
          <w:lang w:val="en-US"/>
        </w:rPr>
        <w:t xml:space="preserve"> between analyzed samples. Although total number of significantly up- and down-regulated genes </w:t>
      </w:r>
      <w:r w:rsidR="00322CE7">
        <w:rPr>
          <w:lang w:val="en-US"/>
        </w:rPr>
        <w:t xml:space="preserve">(i.e. 3,803 genes) </w:t>
      </w:r>
      <w:r>
        <w:rPr>
          <w:lang w:val="en-US"/>
        </w:rPr>
        <w:t>is relatively high (T</w:t>
      </w:r>
      <w:r w:rsidR="000F35AB">
        <w:rPr>
          <w:lang w:val="en-US"/>
        </w:rPr>
        <w:t>ab.</w:t>
      </w:r>
      <w:r w:rsidR="00B719C0">
        <w:rPr>
          <w:lang w:val="en-US"/>
        </w:rPr>
        <w:t xml:space="preserve"> b</w:t>
      </w:r>
      <w:r>
        <w:rPr>
          <w:lang w:val="en-US"/>
        </w:rPr>
        <w:t xml:space="preserve">), it is worth to point out that the level of observed changes is </w:t>
      </w:r>
      <w:r w:rsidRPr="007640D7">
        <w:rPr>
          <w:lang w:val="en-US"/>
        </w:rPr>
        <w:t>negligible</w:t>
      </w:r>
      <w:r w:rsidR="00523C10">
        <w:rPr>
          <w:lang w:val="en-US"/>
        </w:rPr>
        <w:t>, as t</w:t>
      </w:r>
      <w:r w:rsidR="00A51BF3">
        <w:rPr>
          <w:lang w:val="en-US"/>
        </w:rPr>
        <w:t xml:space="preserve">he total number of </w:t>
      </w:r>
      <w:r w:rsidR="006F1FA5">
        <w:rPr>
          <w:lang w:val="en-US"/>
        </w:rPr>
        <w:t xml:space="preserve">differentially expressed genes have decreased </w:t>
      </w:r>
      <w:r w:rsidR="00674F09">
        <w:rPr>
          <w:lang w:val="en-US"/>
        </w:rPr>
        <w:t>tenfold</w:t>
      </w:r>
      <w:r w:rsidR="006F1FA5">
        <w:rPr>
          <w:lang w:val="en-US"/>
        </w:rPr>
        <w:t xml:space="preserve"> </w:t>
      </w:r>
      <w:r w:rsidR="00322CE7">
        <w:rPr>
          <w:lang w:val="en-US"/>
        </w:rPr>
        <w:t xml:space="preserve">(i.e. to 377 genes) </w:t>
      </w:r>
      <w:r w:rsidR="006F1FA5">
        <w:rPr>
          <w:lang w:val="en-US"/>
        </w:rPr>
        <w:t xml:space="preserve">after analysis with the FC </w:t>
      </w:r>
      <w:r w:rsidR="006F1FA5" w:rsidRPr="00D7707E">
        <w:rPr>
          <w:lang w:val="en-US"/>
        </w:rPr>
        <w:t>≥ 1.5 in</w:t>
      </w:r>
      <w:r w:rsidR="006F1FA5">
        <w:rPr>
          <w:lang w:val="en-US"/>
        </w:rPr>
        <w:t xml:space="preserve"> either direction. It has to be taken into account that this cut off value is also used very often in transcriptomic studies</w:t>
      </w:r>
      <w:r w:rsidR="004004BB">
        <w:rPr>
          <w:lang w:val="en-US"/>
        </w:rPr>
        <w:t xml:space="preserve">, however implementation of this rate </w:t>
      </w:r>
      <w:r w:rsidR="00523C10">
        <w:rPr>
          <w:lang w:val="en-US"/>
        </w:rPr>
        <w:t xml:space="preserve">for our studies </w:t>
      </w:r>
      <w:r w:rsidR="004004BB">
        <w:rPr>
          <w:lang w:val="en-US"/>
        </w:rPr>
        <w:t>allow</w:t>
      </w:r>
      <w:r w:rsidR="00523C10">
        <w:rPr>
          <w:lang w:val="en-US"/>
        </w:rPr>
        <w:t>ed us</w:t>
      </w:r>
      <w:r w:rsidR="004004BB">
        <w:rPr>
          <w:lang w:val="en-US"/>
        </w:rPr>
        <w:t xml:space="preserve"> </w:t>
      </w:r>
      <w:r w:rsidR="005D6841">
        <w:rPr>
          <w:lang w:val="en-US"/>
        </w:rPr>
        <w:t xml:space="preserve">to </w:t>
      </w:r>
      <w:r w:rsidR="004004BB">
        <w:rPr>
          <w:lang w:val="en-US"/>
        </w:rPr>
        <w:t xml:space="preserve">detect </w:t>
      </w:r>
      <w:r w:rsidR="00523C10">
        <w:rPr>
          <w:lang w:val="en-US"/>
        </w:rPr>
        <w:t>much reduced number of genes with changes in their activity</w:t>
      </w:r>
      <w:r w:rsidR="006F1FA5">
        <w:rPr>
          <w:lang w:val="en-US"/>
        </w:rPr>
        <w:t xml:space="preserve">. </w:t>
      </w:r>
      <w:r>
        <w:rPr>
          <w:lang w:val="en-US"/>
        </w:rPr>
        <w:t xml:space="preserve">The most altered expression levels of genes under indicated conditions are shown </w:t>
      </w:r>
      <w:r w:rsidR="00565F29">
        <w:rPr>
          <w:lang w:val="en-US"/>
        </w:rPr>
        <w:t>in Tab. c and d</w:t>
      </w:r>
      <w:r w:rsidRPr="000F35AB">
        <w:rPr>
          <w:lang w:val="en-US"/>
        </w:rPr>
        <w:t xml:space="preserve">. </w:t>
      </w:r>
      <w:r w:rsidR="004172F1" w:rsidRPr="000F35AB">
        <w:rPr>
          <w:lang w:val="en-US"/>
        </w:rPr>
        <w:t xml:space="preserve">It is </w:t>
      </w:r>
      <w:r w:rsidR="004172F1">
        <w:rPr>
          <w:lang w:val="en-US"/>
        </w:rPr>
        <w:t xml:space="preserve">worth noticing that, </w:t>
      </w:r>
      <w:r w:rsidR="00463D52">
        <w:rPr>
          <w:lang w:val="en-US"/>
        </w:rPr>
        <w:t xml:space="preserve">among the most modulated genes more than 20% have uncertain function. </w:t>
      </w:r>
      <w:r>
        <w:rPr>
          <w:lang w:val="en-US"/>
        </w:rPr>
        <w:t xml:space="preserve">The </w:t>
      </w:r>
      <w:r w:rsidRPr="003C1F76">
        <w:rPr>
          <w:lang w:val="en-US"/>
        </w:rPr>
        <w:t>highest</w:t>
      </w:r>
      <w:r>
        <w:rPr>
          <w:lang w:val="en-US"/>
        </w:rPr>
        <w:t xml:space="preserve"> number of genes with modulated </w:t>
      </w:r>
      <w:r w:rsidRPr="003C1F76">
        <w:rPr>
          <w:lang w:val="en-US"/>
        </w:rPr>
        <w:t>expression in fibroblasts is observed after 24 h of treatment with 25 µM nimesulide</w:t>
      </w:r>
      <w:r>
        <w:rPr>
          <w:lang w:val="en-US"/>
        </w:rPr>
        <w:t xml:space="preserve">, as is the number of the most up- and down-regulated genes. Interestingly, we found that in all cases selected NSAIDs up-regulate genes expression more effectively </w:t>
      </w:r>
      <w:r w:rsidR="000F35AB">
        <w:rPr>
          <w:lang w:val="en-US"/>
        </w:rPr>
        <w:t>rather that down-regulate (Tab.</w:t>
      </w:r>
      <w:r w:rsidR="00B719C0">
        <w:rPr>
          <w:lang w:val="en-US"/>
        </w:rPr>
        <w:t xml:space="preserve"> b</w:t>
      </w:r>
      <w:r>
        <w:rPr>
          <w:lang w:val="en-US"/>
        </w:rPr>
        <w:t>).</w:t>
      </w:r>
    </w:p>
    <w:p w:rsidR="00FD1E7C" w:rsidRDefault="00FD1E7C" w:rsidP="00321ED6">
      <w:pPr>
        <w:autoSpaceDE w:val="0"/>
        <w:autoSpaceDN w:val="0"/>
        <w:adjustRightInd w:val="0"/>
        <w:spacing w:line="480" w:lineRule="auto"/>
        <w:ind w:firstLine="708"/>
        <w:rPr>
          <w:lang w:val="en-US"/>
        </w:rPr>
      </w:pPr>
      <w:r w:rsidRPr="002E6C37">
        <w:rPr>
          <w:lang w:val="en-US"/>
        </w:rPr>
        <w:t xml:space="preserve">To </w:t>
      </w:r>
      <w:r>
        <w:rPr>
          <w:lang w:val="en-US"/>
        </w:rPr>
        <w:t>evaluate</w:t>
      </w:r>
      <w:r w:rsidRPr="002E6C37">
        <w:rPr>
          <w:lang w:val="en-US"/>
        </w:rPr>
        <w:t xml:space="preserve"> effects of selected drugs on cell cycle p</w:t>
      </w:r>
      <w:r>
        <w:rPr>
          <w:lang w:val="en-US"/>
        </w:rPr>
        <w:t xml:space="preserve">rogression in </w:t>
      </w:r>
      <w:r w:rsidR="00DD0E93">
        <w:rPr>
          <w:lang w:val="en-US"/>
        </w:rPr>
        <w:t>human dermal</w:t>
      </w:r>
      <w:r>
        <w:rPr>
          <w:lang w:val="en-US"/>
        </w:rPr>
        <w:t xml:space="preserve"> fibroblasts, we analyzed </w:t>
      </w:r>
      <w:r w:rsidRPr="002E6C37">
        <w:rPr>
          <w:lang w:val="en-US"/>
        </w:rPr>
        <w:t>this process, using the MUSE</w:t>
      </w:r>
      <w:r w:rsidRPr="00B24F13">
        <w:rPr>
          <w:vertAlign w:val="superscript"/>
          <w:lang w:val="en-US"/>
        </w:rPr>
        <w:t>®</w:t>
      </w:r>
      <w:r w:rsidRPr="002E6C37">
        <w:rPr>
          <w:lang w:val="en-US"/>
        </w:rPr>
        <w:t xml:space="preserve"> Cell Analyzer</w:t>
      </w:r>
      <w:r>
        <w:rPr>
          <w:lang w:val="en-US"/>
        </w:rPr>
        <w:t xml:space="preserve">. </w:t>
      </w:r>
      <w:r w:rsidRPr="002E6C37">
        <w:rPr>
          <w:lang w:val="en-US"/>
        </w:rPr>
        <w:t>Cell percentages in G0/G1, S and G2/M phases</w:t>
      </w:r>
      <w:r>
        <w:rPr>
          <w:lang w:val="en-US"/>
        </w:rPr>
        <w:t xml:space="preserve"> </w:t>
      </w:r>
      <w:r w:rsidRPr="002E6C37">
        <w:rPr>
          <w:lang w:val="en-US"/>
        </w:rPr>
        <w:t xml:space="preserve">were </w:t>
      </w:r>
      <w:r w:rsidRPr="007E7927">
        <w:rPr>
          <w:lang w:val="en-US"/>
        </w:rPr>
        <w:t xml:space="preserve">determined after 24 h of incubation. Moreover, we investigated whether the cell cycle is affected in fibroblasts derived from patients suffering from </w:t>
      </w:r>
      <w:r w:rsidR="00DD0E93" w:rsidRPr="00DD0E93">
        <w:rPr>
          <w:lang w:val="en-US"/>
        </w:rPr>
        <w:t>mucopolysaccharidosis</w:t>
      </w:r>
      <w:r w:rsidR="00DD0E93">
        <w:rPr>
          <w:lang w:val="en-US"/>
        </w:rPr>
        <w:t xml:space="preserve"> </w:t>
      </w:r>
      <w:r w:rsidRPr="007E7927">
        <w:rPr>
          <w:lang w:val="en-US"/>
        </w:rPr>
        <w:t xml:space="preserve">type I and II. We found that, despite observed alterations, the HDFa treatment did not show any </w:t>
      </w:r>
      <w:r w:rsidRPr="000F35AB">
        <w:rPr>
          <w:lang w:val="en-US"/>
        </w:rPr>
        <w:t>statistically significant changes (</w:t>
      </w:r>
      <w:r w:rsidR="00432223" w:rsidRPr="000F35AB">
        <w:rPr>
          <w:lang w:val="en-US"/>
        </w:rPr>
        <w:t>P</w:t>
      </w:r>
      <w:r w:rsidRPr="000F35AB">
        <w:rPr>
          <w:lang w:val="en-US"/>
        </w:rPr>
        <w:t xml:space="preserve"> &lt; 0.05, </w:t>
      </w:r>
      <w:r w:rsidRPr="000F35AB">
        <w:rPr>
          <w:i/>
          <w:lang w:val="en-US"/>
        </w:rPr>
        <w:t>t</w:t>
      </w:r>
      <w:r w:rsidRPr="000F35AB">
        <w:rPr>
          <w:lang w:val="en-US"/>
        </w:rPr>
        <w:t>-Student test) between fractions of cells in G0/G1, S, and G2/M phases</w:t>
      </w:r>
      <w:r w:rsidR="008960A4" w:rsidRPr="000F35AB">
        <w:rPr>
          <w:lang w:val="en-US"/>
        </w:rPr>
        <w:t xml:space="preserve"> compared to the control (Fig.</w:t>
      </w:r>
      <w:r w:rsidRPr="000F35AB">
        <w:rPr>
          <w:lang w:val="en-US"/>
        </w:rPr>
        <w:t xml:space="preserve"> 1A). Similar tendency was observed in MPS </w:t>
      </w:r>
      <w:r w:rsidR="008960A4" w:rsidRPr="000F35AB">
        <w:rPr>
          <w:lang w:val="en-US"/>
        </w:rPr>
        <w:t>I and MPS II fibroblasts (Fig.</w:t>
      </w:r>
      <w:r w:rsidRPr="000F35AB">
        <w:rPr>
          <w:lang w:val="en-US"/>
        </w:rPr>
        <w:t xml:space="preserve"> 1B and 1C), however, we noted statistically significant change</w:t>
      </w:r>
      <w:r w:rsidR="00946C10" w:rsidRPr="000F35AB">
        <w:rPr>
          <w:lang w:val="en-US"/>
        </w:rPr>
        <w:t>s in MPS I fibroblasts (</w:t>
      </w:r>
      <w:r w:rsidR="000F35AB">
        <w:rPr>
          <w:lang w:val="en-US"/>
        </w:rPr>
        <w:t>Tab.</w:t>
      </w:r>
      <w:r w:rsidR="00B719C0">
        <w:rPr>
          <w:lang w:val="en-US"/>
        </w:rPr>
        <w:t xml:space="preserve"> e</w:t>
      </w:r>
      <w:r w:rsidRPr="000F35AB">
        <w:rPr>
          <w:lang w:val="en-US"/>
        </w:rPr>
        <w:t xml:space="preserve">). </w:t>
      </w:r>
    </w:p>
    <w:p w:rsidR="004A6C8B" w:rsidRDefault="004A6C8B" w:rsidP="00321ED6">
      <w:pPr>
        <w:autoSpaceDE w:val="0"/>
        <w:autoSpaceDN w:val="0"/>
        <w:adjustRightInd w:val="0"/>
        <w:spacing w:line="480" w:lineRule="auto"/>
        <w:ind w:firstLine="708"/>
        <w:rPr>
          <w:lang w:val="en-US"/>
        </w:rPr>
      </w:pPr>
    </w:p>
    <w:p w:rsidR="004A6C8B" w:rsidRPr="000F35AB" w:rsidRDefault="004A6C8B" w:rsidP="004A6C8B">
      <w:pPr>
        <w:autoSpaceDE w:val="0"/>
        <w:autoSpaceDN w:val="0"/>
        <w:adjustRightInd w:val="0"/>
        <w:spacing w:line="480" w:lineRule="auto"/>
        <w:rPr>
          <w:lang w:val="en-US"/>
        </w:rPr>
      </w:pPr>
      <w:r>
        <w:rPr>
          <w:b/>
          <w:lang w:val="en-US"/>
        </w:rPr>
        <w:t xml:space="preserve">4. </w:t>
      </w:r>
      <w:r w:rsidRPr="003352F2">
        <w:rPr>
          <w:b/>
          <w:lang w:val="en-US"/>
        </w:rPr>
        <w:t>DISCUSSION</w:t>
      </w:r>
    </w:p>
    <w:p w:rsidR="00FD1E7C" w:rsidRDefault="004A6C8B" w:rsidP="00355E19">
      <w:pPr>
        <w:autoSpaceDE w:val="0"/>
        <w:autoSpaceDN w:val="0"/>
        <w:adjustRightInd w:val="0"/>
        <w:spacing w:line="480" w:lineRule="auto"/>
        <w:rPr>
          <w:lang w:val="en-US"/>
        </w:rPr>
      </w:pPr>
      <w:r>
        <w:rPr>
          <w:lang w:val="en-US"/>
        </w:rPr>
        <w:tab/>
        <w:t>I</w:t>
      </w:r>
      <w:r w:rsidR="00371A10">
        <w:rPr>
          <w:lang w:val="en-US"/>
        </w:rPr>
        <w:t>n this study</w:t>
      </w:r>
      <w:r w:rsidR="00FD1E7C">
        <w:rPr>
          <w:lang w:val="en-US"/>
        </w:rPr>
        <w:t xml:space="preserve"> we have evaluated the effects of two selected </w:t>
      </w:r>
      <w:r w:rsidR="00DD0E93" w:rsidRPr="00DD0E93">
        <w:rPr>
          <w:lang w:val="en-US"/>
        </w:rPr>
        <w:t>non-steroidal anti-inflammatory drugs</w:t>
      </w:r>
      <w:r w:rsidR="00FD1E7C">
        <w:rPr>
          <w:lang w:val="en-US"/>
        </w:rPr>
        <w:t>, indometha</w:t>
      </w:r>
      <w:r w:rsidR="00A51BF3">
        <w:rPr>
          <w:lang w:val="en-US"/>
        </w:rPr>
        <w:t>cin and nimesulide, in human d</w:t>
      </w:r>
      <w:r w:rsidR="00FD1E7C">
        <w:rPr>
          <w:lang w:val="en-US"/>
        </w:rPr>
        <w:t xml:space="preserve">ermal fibroblasts model. So far, </w:t>
      </w:r>
      <w:r w:rsidR="00FD1E7C" w:rsidRPr="00B87FB5">
        <w:rPr>
          <w:lang w:val="en-US"/>
        </w:rPr>
        <w:t>mounting evidence suggest</w:t>
      </w:r>
      <w:r w:rsidR="00FD1E7C">
        <w:rPr>
          <w:lang w:val="en-US"/>
        </w:rPr>
        <w:t>ed</w:t>
      </w:r>
      <w:r w:rsidR="00FD1E7C" w:rsidRPr="00B87FB5">
        <w:rPr>
          <w:lang w:val="en-US"/>
        </w:rPr>
        <w:t xml:space="preserve"> that </w:t>
      </w:r>
      <w:r w:rsidR="00DD0E93">
        <w:rPr>
          <w:lang w:val="en-US"/>
        </w:rPr>
        <w:t xml:space="preserve">NSAIDs </w:t>
      </w:r>
      <w:r w:rsidR="00FD1E7C" w:rsidRPr="00B87FB5">
        <w:rPr>
          <w:lang w:val="en-US"/>
        </w:rPr>
        <w:t>are able to inhibit cell growth and interfere with numerous cellular pathways</w:t>
      </w:r>
      <w:r w:rsidR="00FD1E7C">
        <w:rPr>
          <w:lang w:val="en-US"/>
        </w:rPr>
        <w:t xml:space="preserve">, for instance, cell cycle and apoptosis </w:t>
      </w:r>
      <w:r w:rsidR="006C4E42">
        <w:rPr>
          <w:lang w:val="en-US"/>
        </w:rPr>
        <w:fldChar w:fldCharType="begin" w:fldLock="1"/>
      </w:r>
      <w:r w:rsidR="00B8446D">
        <w:rPr>
          <w:lang w:val="en-US"/>
        </w:rPr>
        <w:instrText>ADDIN CSL_CITATION { "citationItems" : [ { "id" : "ITEM-1", "itemData" : { "DOI" : "10.1371/journal.pone.0061836", "ISSN" : "19326203", "PMID" : "23637916", "abstract" : "Epidemiological studies have shown that the regular use of non-steroidal anti-inflammatory (NSAIDs) drugs is associated with a reduced risk of various cancers. In addition, in vitro and experiments in mouse models have demonstrated that NSAIDs decrease tumor initiation and/or progression of several cancers. However, there are limited preclinical studies investigating the effects of NSAIDs in ovarian cancer. Here, we have studied the effects of two NSAIDs, diclofenac and indomethacin, in ovarian cancer cell lines and in a xenograft mouse model. Diclofenac and indomethacin treatment decreased cell growth by inducing cell cycle arrest and apoptosis. In addition, diclofenac and indomethacin reduced tumor volume in a xenograft model of ovarian cancer. To identify possible molecular pathways mediating the effects of NSAID treatment in ovarian cancer, we performed microarray analysis of ovarian cancer cells treated with indomethacin or diclofenac. Interestingly, several of the genes found downregulated following diclofenac or indomethacin treatment are transcriptional target genes of E2F1. E2F1 was downregulated at the mRNA and protein level upon treatment with diclofenac and indomethacin, and overexpression of E2F1 rescued cells from the growth inhibitory effects of diclofenac and indomethacin. In conclusion, NSAIDs diclofenac and indomethacin exert an anti-proliferative effect in ovarian cancer in vitro and in vivo and the effects of NSAIDs may be mediated, in part, by downregulation of E2F1.", "author" : [ { "dropping-particle" : "", "family" : "Valle", "given" : "Blanca L.", "non-dropping-particle" : "", "parse-names" : false, "suffix" : "" }, { "dropping-particle" : "", "family" : "D'Souza", "given" : "Theresa", "non-dropping-particle" : "", "parse-names" : false, "suffix" : "" }, { "dropping-particle" : "", "family" : "Becker", "given" : "Kevin G.", "non-dropping-particle" : "", "parse-names" : false, "suffix" : "" }, { "dropping-particle" : "", "family" : "Wood", "given" : "William H.", "non-dropping-particle" : "", "parse-names" : false, "suffix" : "" }, { "dropping-particle" : "", "family" : "Zhang", "given" : "Yongqing", "non-dropping-particle" : "", "parse-names" : false, "suffix" : "" }, { "dropping-particle" : "", "family" : "Wersto", "given" : "Robert P.", "non-dropping-particle" : "", "parse-names" : false, "suffix" : "" }, { "dropping-particle" : "", "family" : "Morin", "given" : "Patrice J.", "non-dropping-particle" : "", "parse-names" : false, "suffix" : "" } ], "container-title" : "PLoS ONE", "id" : "ITEM-1", "issue" : "4", "issued" : { "date-parts" : [ [ "2013" ] ] }, "title" : "Non-Steroidal Anti-inflammatory Drugs Decrease E2F1 Expression and Inhibit Cell Growth in Ovarian Cancer Cells", "type" : "article-journal", "volume" : "8" }, "uris" : [ "http://www.mendeley.com/documents/?uuid=a3a64f52-4f3c-4a3a-b186-f8013d44bf0a" ] }, { "id" : "ITEM-2", "itemData" : { "DOI" : "10.1016/j.ejphar.2006.01.008", "ISSN" : "00142999", "PMID" : "16487511", "abstract" : "Nonsteroidal anti-inflammatory drugs (NSAIDs) are widely used drugs for the treatment of inflammatory disease and have a chemopreventive effect in a variety of tumors. Several studies have demonstrated unequivocally that certain NSAIDs cause antiproliferative effects independent of cyclooxygenase (COX) activity. In this study, we investigated the effect of chemically unrelated NSAIDs in the proliferation of glioma cell lines and the possible mechanisms involved in indomethacin-mediated inhibition of proliferation in glioma cells lines. The glioma cell lines were treated with NSAIDs and proliferation was measured by cell counting. Indomethacin, acetaminophen, sulindac sulfide and NS-398 (N-[2-cyclohexyloxy)-4-nitrophenyl]methane-sulfonamide) induced a time- and concentration-dependent inhibition of C6 rat glioma cell proliferation. The inhibition of COX by chemically unrelated NSAIDs leads to inhibition of rat and human glioma cell proliferation. The tetrazolium reduction assay (MTT) indicated a reduction in cell viability induced by indomethacin. None of the NSAIDs tested induced caspase-3/7 activation, assayed with a fluorigenic substrate. The indomethacin-induced inhibition of C6 cells proliferation was abrogated by the use of the c-Src inhibitor, PP2 and the MEK inhibitor, PD 098059, suggesting COX-independent mechanisms. Indomethacin decreased the percentage of cells in the S phase, with relative increases in the G0/G1 and/or the G2/M phase. NSAIDs may be clinically important for pharmacological intervention in gliomas. \u00a9 2006 Elsevier B.V. All rights reserved.", "author" : [ { "dropping-particle" : "", "family" : "Bernardi", "given" : "Andressa", "non-dropping-particle" : "", "parse-names" : false, "suffix" : "" }, { "dropping-particle" : "", "family" : "Jacques-Silva", "given" : "Maria C.", "non-dropping-particle" : "", "parse-names" : false, "suffix" : "" }, { "dropping-particle" : "", "family" : "Delgado-Ca\u00f1edo", "given" : "Andr\u00e9s", "non-dropping-particle" : "", "parse-names" : false, "suffix" : "" }, { "dropping-particle" : "", "family" : "Lenz", "given" : "Guido", "non-dropping-particle" : "", "parse-names" : false, "suffix" : "" }, { "dropping-particle" : "", "family" : "Battastini", "given" : "A. M O", "non-dropping-particle" : "", "parse-names" : false, "suffix" : "" } ], "container-title" : "European Journal of Pharmacology", "id" : "ITEM-2", "issue" : "3", "issued" : { "date-parts" : [ [ "2006" ] ] }, "page" : "214-222", "title" : "Nonsteroidal anti-inflammatory drugs inhibit the growth of C6 and U138-MG glioma cell lines", "type" : "article-journal", "volume" : "532" }, "uris" : [ "http://www.mendeley.com/documents/?uuid=e60ae4f2-8a2f-424c-9dae-f7e7983493c7" ] }, { "id" : "ITEM-3", "itemData" : { "DOI" : "10.1211/002235702775", "ISSN" : "00223573", "author" : [ { "dropping-particle" : "", "family" : "Brooks", "given" : "Gavin", "non-dropping-particle" : "", "parse-names" : false, "suffix" : "" }, { "dropping-particle" : "", "family" : "Yu", "given" : "Xue-Mei", "non-dropping-particle" : "", "parse-names" : false, "suffix" : "" }, { "dropping-particle" : "", "family" : "Wang", "given" : "Yuequn", "non-dropping-particle" : "", "parse-names" : false, "suffix" : "" }, { "dropping-particle" : "", "family" : "Crabbe", "given" : "M. James C.", "non-dropping-particle" : "", "parse-names" : false, "suffix" : "" }, { "dropping-particle" : "", "family" : "Shattock", "given" : "Michael J.", "non-dropping-particle" : "", "parse-names" : false, "suffix" : "" }, { "dropping-particle" : "V.", "family" : "Harper", "given" : "Jane", "non-dropping-particle" : "", "parse-names" : false, "suffix" : "" } ], "container-title" : "Journal of Pharmacy and Pharmacology", "id" : "ITEM-3", "issue" : "4", "issued" : { "date-parts" : [ [ "2003", "4" ] ] }, "page" : "519-526", "publisher" : "Blackwell Publishing Ltd", "title" : "Non-steroidal anti-inflammatory drugs (NSAIDs) inhibit vascular smooth muscle cell proliferation via differential effects on the cell cycle", "type" : "article-journal", "volume" : "55" }, "uris" : [ "http://www.mendeley.com/documents/?uuid=51d353b3-a2dd-3403-a1db-6a9fe7e45596" ] }, { "id" : "ITEM-4", "itemData" : { "DOI" : "10.1177/1099800414527155", "ISSN" : "1099-8004, 1552-4175", "PMID" : "25384313", "abstract" : "Some nonsteroidal anti-inflammatory drugs (NSAIDs) have adverse effects on bone tissue. The objective of this study was to determine the effect of different doses of dexketoprofen, ketorolac, and metamizole on growth of the osteoblast MG63 cell line. 3-(4,5-Dimethylthiazol-2-yl)-2,5-diphenyltetrazolium bromide spectrophotometry results showed that MG63 cell growth was significantly inhibited after 24 hr of culture with doses of 10, 20, 100, or 1,000 \u00b5M of each NSAID and with doses of 0.1, 1, or 5 \u00b5M of dexketoprofen and ketorolac but not metamizole. Cell-cycle studies revealed that dexketoprofen and ketorolac treatments significantly arrested the cell cycle in phase G0/G1, increasing the percentage of cells in this phase. Apoptosis/necrosis studies showed significant changes versus control cells, with an increased percentage of cells in apoptosis after treatment with 10, 100, or 1,000 \u00b5M of metamizole and after treatment with 1, 10, 100, or 1,000 \u00b5M of dexketoprofen or ketorolac. In conclusion, treatment of osteoblast-like cells with high doses of the NSAIDs tested increased not only the percentage of cells in apoptosis but also the percentage of necrotic cells.", "author" : [ { "dropping-particle" : "", "family" : "Luna-Bertos", "given" : "Elvira", "non-dropping-particle" : "De", "parse-names" : false, "suffix" : "" }, { "dropping-particle" : "", "family" : "Ramos-Torrecillas", "given" : "Javier", "non-drop</w:instrText>
      </w:r>
      <w:r w:rsidR="00B8446D" w:rsidRPr="00FA5ECE">
        <w:rPr>
          <w:lang w:val="sv-SE"/>
        </w:rPr>
        <w:instrText>ping-particle" : "", "parse-names" : false, "suffix" : "" }, { "dropping-particle" : "", "family" : "Manzano-Moreno", "given" : "Francisco Javier", "non-dropping-particle" : "", "parse-names" : false, "suffix" : "" }, { "dropping-particle" : "", "family" : "Garc\u00eda-Mart\u00ednez", "given" : "Olga", "non-dropping-particle" : "", "parse-names" : false, "suffix" : "" }, { "dropping-particle" : "", "family" : "Ruiz", "given" : "Concepci\u00f3n", "non-dropping-particle" : "", "parse-names" : false, "suffix" : "" } ], "container-title" : "Biological Research For Nursing", "id" : "ITEM-4", "issue" : "1", "issued" : { "date-parts" : [ [ "2014" ] ] }, "page" : "1099800414527155", "title" : "Effects on Growth of Human Osteoblast-Like Cells of Three Nonsteroidal Anti-Inflammatory Drugs Metamizole, Dexketoprofen, and Ketorolac", "type" : "article-journal", "volume" : "17" }, "uris" : [ "http://www.mendeley.com/documents/?uuid=88ff98eb-c51b-4f5e-bd42-4c3e66a20202" ] } ], "mendeley" : { "formattedCitation" : "(Bernardi et al., 2006; Brooks et al., 2003; De Luna-Bertos et al., 2014; Valle et al., 2013)", "plainTextFormattedCitation" : "(Bernardi et al., 2006; Brooks et al., 2003; De Luna-Bertos et al., 2014; Valle et al., 2013)", "previouslyFormattedCitation" : "(Bernardi et al., 2006; Brooks et al., 2003; De Luna-Bertos et al., 2014; Valle et al., 2013)" }, "properties" : { "noteIndex" : 0 }, "schema" : "https://github.com/citation-style-language/schema/raw/master/csl-citation.json" }</w:instrText>
      </w:r>
      <w:r w:rsidR="006C4E42">
        <w:rPr>
          <w:lang w:val="en-US"/>
        </w:rPr>
        <w:fldChar w:fldCharType="separate"/>
      </w:r>
      <w:r w:rsidR="00B8446D" w:rsidRPr="00FA5ECE">
        <w:rPr>
          <w:noProof/>
          <w:lang w:val="sv-SE"/>
        </w:rPr>
        <w:t>(Bernardi et al., 2006; Brooks et al., 2003; De Luna-Bertos et al., 2014; Valle et al., 2013)</w:t>
      </w:r>
      <w:r w:rsidR="006C4E42">
        <w:rPr>
          <w:lang w:val="en-US"/>
        </w:rPr>
        <w:fldChar w:fldCharType="end"/>
      </w:r>
      <w:r w:rsidR="00FD1E7C" w:rsidRPr="00FA5ECE">
        <w:rPr>
          <w:lang w:val="sv-SE"/>
        </w:rPr>
        <w:t xml:space="preserve">. </w:t>
      </w:r>
      <w:r w:rsidR="00FD1E7C">
        <w:rPr>
          <w:lang w:val="en-US"/>
        </w:rPr>
        <w:t>However, most</w:t>
      </w:r>
      <w:r w:rsidR="00FD1E7C" w:rsidRPr="008328C2">
        <w:rPr>
          <w:lang w:val="en-US"/>
        </w:rPr>
        <w:t xml:space="preserve"> of </w:t>
      </w:r>
      <w:r w:rsidR="00FD1E7C">
        <w:rPr>
          <w:lang w:val="en-US"/>
        </w:rPr>
        <w:t>studies</w:t>
      </w:r>
      <w:r w:rsidR="00FD1E7C" w:rsidRPr="008328C2">
        <w:rPr>
          <w:lang w:val="en-US"/>
        </w:rPr>
        <w:t xml:space="preserve"> on human cells were performed with cancer-derived cell lines</w:t>
      </w:r>
      <w:r w:rsidR="00FD1E7C">
        <w:rPr>
          <w:lang w:val="en-US"/>
        </w:rPr>
        <w:t xml:space="preserve">, and to our knowledge, there are only few reports concerning non-transformed cells </w:t>
      </w:r>
      <w:r w:rsidR="006C4E42">
        <w:rPr>
          <w:lang w:val="en-US"/>
        </w:rPr>
        <w:fldChar w:fldCharType="begin" w:fldLock="1"/>
      </w:r>
      <w:r w:rsidR="00B8446D">
        <w:rPr>
          <w:lang w:val="en-US"/>
        </w:rPr>
        <w:instrText>ADDIN CSL_CITATION { "citationItems" : [ { "id" : "ITEM-1", "itemData" : { "DOI" : "10.1016/j.tox.2009.01.016", "ISSN" : "0300-483X", "PMID" : "19428934", "abstract" : "It has been reported that anti-inflammatory drugs (AIDs) inhibited bone repair in animal studies, and suppressed proliferation and induced cell death in rat osteoblast cultures. In this study, we further investigated the molecular mechanisms of AID effects on proliferation and cell death in human osteoblasts (hOBs). We examined the effects of dexamethasone (10(-7) and 10(-6)M), non-selective non-steroidal anti-inflammatory drugs (NSAIDs): indomethacin, ketorolac, piroxicam and diclofenac (10(-5) and 10(-4)M), and COX-2 inhibitor: celecoxib (10(-6) and 10(-5)M) on proliferation, cytotoxicity, cell death, and mRNA and protein levels of cell cycle and apoptosis-related regulators in hOBs. All the tested AIDs significantly inhibited proliferation and arrested cell cycle at G0/G1 phase in hOBs. Celecoxib and dexamethasone, but not non-selective NSAIDs, were found to have cytotoxic effects on hOB, and further demonstrated to induce apoptosis and necrosis (at higher concentration) in hOBs. We further found that indomethacin, celecoxib and dexamethasone increased the mRNA and protein expressions of p27(kip1) and decreased those of cyclin D2 and p-cdk2 in hOBs. Bak expression was increased by celecoxib and dexamethasone, while Bcl-XL level was declined only by dexamethasone. Furthermore, the replenishment of PGE1, PGE2 or PGF2alpha did not reverse the effects of AIDs on proliferation and expressions of p27(kip1) and cyclin D2 in hOBs. We conclude that the changes in expressions of regulators of cell cycle (p27(kip1) and cyclin D2) and/or apoptosis (Bak and Bcl-XL) by AIDs may contribute to AIDs caused proliferation suppression and apoptosis in hOBs. This effect might not relate to the blockage of prostaglandin synthesis by AIDs.", "author" : [ { "dropping-particle" : "", "family" : "Chang", "given" : "Je-Ken", "non-dropping-particle" : "", "parse-names" : false, "suffix" : "" }, { "dropping-particle" : "", "family" : "Li", "given" : "Ching-Ju", "non-dropping-particle" : "", "parse-names" : false, "suffix" : "" }, { "dropping-particle" : "", "family" : "Liao", "given" : "Hsiu-Jun", "non-dropping-particle" : "", "parse-names" : false, "suffix" : "" }, { "dropping-particle" : "", "family" : "Wang", "given" : "Chih-Kuang", "non-dropping-particle" : "", "parse-names" : false, "suffix" : "" }, { "dropping-particle" : "", "family" : "Wang", "given" : "Gwo-Jaw", "non-dropping-particle" : "", "parse-names" : false, "suffix" : "" }, { "dropping-particle" : "", "family" : "Ho", "given" : "Mei-Ling", "non-dropping-particle" : "", "parse-names" : false, "suffix" : "" } ], "container-title" : "Toxicology", "id" : "ITEM-1", "issue" : "2-3", "issued" : { "date-parts" : [ [ "2009", "4", "28" ] ] }, "page" : "148-56", "title" : "Anti-inflammatory drugs suppress proliferation and induce apoptosis through altering expressions of cell cycle regulators and pro-apoptotic factors in cultured human osteoblasts.", "type" : "article-journal", "volume" : "258" }, "uris" : [ "http://www.mendeley.com/documents/?uuid=e20cf23e-68b0-3f04-affe-1b91040ef005" ] }, { "id" : "ITEM-2", "itemData" : { "DOI" : "10.1016/j.bcp.2007.06.047", "ISSN" : "0006-2952", "PMID" : "17714695", "abstract" : "Nonsteroidal anti-inflammatory drugs (NSAIDs) were found to suppress proliferation and induce cell death in cultured osteoblasts, and steroids were found to decrease the osteogenesis potential of mesenchymal stem cells. In this study, we further tested the effects of anti-inflammatory drugs (AIDs) on the functions of bone marrow mesenchymal stem cells (BMSCs). The BMSCs from mice (D1-cells) and humans (hBMSCs) were treated with dexamethasone (10(-7) to 10(-6) M), cyclooxygenase-2 (COX-2) selective NSAIDs (10(-6) to 10(-5) M) and non-selective NSAIDs (10(-5) to 10(-4) M). Drug effects on proliferation, cell cycle kinetics, cytotoxicity and mRNA and protein expressions of cell cycle regulators were tested. The osteogenesis potential of D1-cells were evaluated by testing mRNA expressions of type Ialpha collagen and osteocalcin 2-8 days after treatments, and testing mineralization 1-3 weeks after treatments. The results showed that all the tested drugs suppressed proliferation and arrested cell cycle of D1-cells, but no significant cytotoxic effects was found. Prostaglandin E1, E2 and F2alpha couldn't rescue the effects of AIDs on proliferation. The p27kip1 expression was up-regulated by indomethacin, celecoxib and dexamethasone in both D1-cells and hBMSCs. Higher concentrations of indomethacin and dexamethasone also up-regulated p21Cip1/Waf1 expression in hBMSCs, and so did celecoxib on D1-cells. Expressions of cyclin E1 and E2 were down-regulated by these AIDs in D-cells, while only cyclin E2 was down-regulated by dexamethasone in hBMSCs. All the tested NSAIDs revealed no obvious detrimental effects on osteogenic differentiation of D1-cells. These results suggest that the proliferation suppression of AIDs on BMSCs may act via affecting expressions of cell cycle regulators, but not prostaglandin-related mechanisms.", "author" : [ { "dropping-particle" : "", "family" : "Chang", "given" : "Je-Ken", "non-dropping-particle" : "", "parse-names" : false, "suffix" : "" }, { "dropping-particle" : "", "family" : "Li", "given" : "Ching-Ju", "non-dropping-particle" : "", "parse-names" : false, "suffix" : "" }, { "dropping-particle" : "", "family" : "Wu", "given" : "Shun-Cheng", "non-dropping-particle" : "", "parse-names" : false, "suffix" : "" }, { "dropping-particle" : "", "family" : "Yeh", "given" : "Ching-Hua", "non-dropping-particle" : "", "parse-names" : false, "suffix" : "" }, { "dropping-particle" : "", "family" : "Chen", "given" : "Chung-Hwan", "non-dropping-particle" : "", "parse-names" : false, "suffix" : "" }, { "dropping-particle" : "", "family" : "Fu", "given" : "Yin-Chih", "non-dropping-particle" : "", "parse-names" : false, "suffix" : "" }, { "dropping-particle" : "", "family" : "Wang", "given" : "Gwo-Jaw", "non-dropping-particle" : "", "parse-names" : false, "suffix" : "" }, { "dropping-particle" : "", "family" : "Ho", "given" : "Mei-Ling", "non-dropping-particle" : "", "parse-names" : false, "suffix" : "" } ], "container-title" : "Biochemical pharmacology", "id" : "ITEM-2", "issue" : "9", "issued" : { "date-parts" : [ [ "2007", "11", "1" ] ] }, "page" : "1371-82", "title" : "Effects of anti-inflammatory drugs on proliferation, cytotoxicity and osteogenesis in bone marrow mesenchymal stem cells.", "type" : "article-journal", "volume" : "74" }, "uris" : [ "http://www.mendeley.com/documents/?uuid=eb2b3adc-a447-3505-bb10-d598f440cfff" ] }, { "id" : "ITEM-3", "itemData" : { "ISSN" : "01460404", "PMID" : "1386351", "abstract" : "5-fluorouracil and steroids have been used to suppress excessive scar formation after glaucoma filtering surgery (GFS). Steroidal and nonsteroidal antiinflammatory drugs (NSAIDs), which are inhibitors of arachidonic acid (AA) pathway, both limit fibroblast activity and reduce inflammation. In this experiment, the ability of corticosteroid (dexamethasone sodium phosphate), cyclooxygenase inhibitor (piroxicam), lipoxygenase inhibitor (ferulic acid), and dual cyclo/lipoxygenase inhibitor (phenidone) to inhibit human Tenon's fibroblast proliferation was evaluated in culture. After human Tenon's fibroblast cell lines were established, a complete dose-response curve was done for the representative compounds for 8 days. Fibroblast attachment and proliferation were quantified by Coulter counter, hexosaminidase, and tritiated thymidine uptake assays. All four drugs inhibited attachment and proliferation at high concentrations. Phenidone was the most effective, with inhibition occurring within the 0.001-0.1 mmol/l range. It also was the only drug that showed inhibition at the antiinflammatory range in vivo. Dexamethasone, piroxicam, and ferulic acid did not inhibit fibroblast attachment and proliferation until doses well above those required to inhibit AA biosynthesis were attained. Only dexamethasone showed increased potency with incubation time. Overall, the NSAIDs showed antiproliferative activity comparable to or better than that of the steroids. Because the potency of steroids increases over time, these drugs may be more beneficial if given prior to initiation of inflammation. These results suggest that NSAIDs may be useful as both antiinflammatory and antiproliferative agents in preventing bleb failure after GFS.", "author" : [ { "dropping-particle" : "", "family" : "Nguyen", "given" : "K D", "non-dropping-particle" : "", "parse-names" : false, "suffix" : "" }, { "dropping-particle" : "", "family" : "Lee", "given" : "D a", "non-dropping-particle" : "", "parse-names" : false, "suffix" : "" } ], "container-title" : "Investigative ophthalmology &amp; visual science", "id" : "ITEM-3", "issue" : "9", "issued" : { "date-parts" : [ [ "1992" ] ] }, "page" : "2693-2701", "title" : "Effect of steroids and nonsteroidal antiinflammatory agents on human ocular fibroblast.", "type" : "article-journal", "volume" : "33" }, "uris" : [ "http://www.mendeley.com/documents/?uuid=6bab4b93-3403-45af-af66-cfaadbf781c4" ] }, { "id" : "ITEM-4", "itemData" : { "DOI" : "10.1211/002235702775", "ISSN" : "00223573", "author" : [ { "dropping-particle" : "", "family" : "Brooks", "given" : "Gavin", "non-dropping-particle" : "", "parse-names" : false, "suffix" : "" }, { "dropping-particle" : "", "family" : "Yu", "given" : "Xue-Mei", "non-dropping-particle" : "", "parse-names" : false, "suffix" : "" }, { "dropping-particle" : "", "family" : "Wang", "given" : "Yuequn", "non-dropping-particle" : "", "parse-names" : false, "suffix" : "" }, { "dropping-particle" : "", "family" : "Crabbe", "given" : "M. James C.", "non-dropping-particle" : "", "parse-names" : false, "suffix" : "" }, { "dropping-particle" : "", "family" : "Shattock", "given" : "Michael J.", "non-dropping-particle" : "", "parse-names" : false, "suffix" : "" }, { "dropping-particle" : "V.", "family" : "Harper", "given" : "Jane", "non-dropping-particle" : "", "parse-names" : false, "suffix" : "" } ], "container-title" : "Journal of Pharmacy and Pharmacology", "id" : "ITEM-4", "issue" : "4", "issued" : { "date-parts" : [ [ "2003", "4" ] ] }, "page" : "519-526", "publisher" : "Blackwell Publishing Ltd", "title" : "Non-steroidal anti-inflammatory drugs (NSAIDs) inhibit vascular smooth muscle cell proliferation via differential effects on the cell cycle", "type" : "article-journal", "volume" : "55" }, "uris" : [ "http://www.mendeley.com/documents/?uuid=51d353b3-a2dd-3403-a1db-6a9fe7e45596" ] } ], "mendeley" : { "formattedCitation" : "(Brooks et al., 2003; Chang et al., 2009, 2007; Nguyen and Lee, 1992)", "plainTextFormattedCitation" : "(Brooks et al., 2003; Chang et al., 2009, 2007; Nguyen and Lee, 1992)", "previouslyFormattedCitation" : "(Brooks et al., 2003; Chang et al., 2009, 2007; Nguyen and Lee, 1992)" }, "properties" : { "noteIndex" : 0 }, "schema" : "https://github.com/citation-style-language/schema/raw/master/csl-citation.json" }</w:instrText>
      </w:r>
      <w:r w:rsidR="006C4E42">
        <w:rPr>
          <w:lang w:val="en-US"/>
        </w:rPr>
        <w:fldChar w:fldCharType="separate"/>
      </w:r>
      <w:r w:rsidR="00B8446D" w:rsidRPr="00B8446D">
        <w:rPr>
          <w:noProof/>
          <w:lang w:val="en-US"/>
        </w:rPr>
        <w:t>(Brooks et al., 2003; Chang et al., 2009, 2007; Nguyen and Lee, 1992)</w:t>
      </w:r>
      <w:r w:rsidR="006C4E42">
        <w:rPr>
          <w:lang w:val="en-US"/>
        </w:rPr>
        <w:fldChar w:fldCharType="end"/>
      </w:r>
      <w:r w:rsidR="00FD1E7C">
        <w:rPr>
          <w:lang w:val="en-US"/>
        </w:rPr>
        <w:t xml:space="preserve">. Moreover, in </w:t>
      </w:r>
      <w:r w:rsidR="00FD1E7C" w:rsidRPr="0005103D">
        <w:rPr>
          <w:lang w:val="en-US"/>
        </w:rPr>
        <w:t>vast majority of works</w:t>
      </w:r>
      <w:r w:rsidR="00FD1E7C">
        <w:rPr>
          <w:lang w:val="en-US"/>
        </w:rPr>
        <w:t xml:space="preserve">, high or very high concentrations of NSAIDs were used. </w:t>
      </w:r>
      <w:r w:rsidR="00FD1E7C" w:rsidRPr="000921F4">
        <w:rPr>
          <w:lang w:val="en-US"/>
        </w:rPr>
        <w:t>Our group previously reported that therapeutic doses of</w:t>
      </w:r>
      <w:r w:rsidR="00FD1E7C">
        <w:rPr>
          <w:lang w:val="en-US"/>
        </w:rPr>
        <w:t xml:space="preserve"> indomethacin and nimesulide after 24 h of treatment can significantly modulate expression of genes involved in crucial metabolic pathways </w:t>
      </w:r>
      <w:r w:rsidR="006C4E42">
        <w:rPr>
          <w:lang w:val="en-US"/>
        </w:rPr>
        <w:fldChar w:fldCharType="begin" w:fldLock="1"/>
      </w:r>
      <w:r w:rsidR="00B8446D">
        <w:rPr>
          <w:lang w:val="en-US"/>
        </w:rPr>
        <w:instrText>ADDIN CSL_CITATION { "citationItems" : [ { "id" : "ITEM-1", "itemData" : { "DOI" : "10.1038/srep43154", "ISSN" : "2045-2322", "PMID" : "28240227", "abstract" : "In this report, selected non-steroidal anti-inflammatory drugs (NSAIDs), indomethacin and nimesulide, and analgesics acetaminophen, alone, as well as in combination with isoflavone genistein as potential glycosaminoglycan (GAG) metabolism modulators were considered for the treatment of mucopolysaccharidoses (MPSs) with neurological symptoms due to the effective blood-brain barrier (BBB) penetration properties of these compounds. We found that indomethacin and nimesulide, but not acetaminophen, inhibited GAG synthesis in fibroblasts significantly, while the most pronounced impairment of glycosaminoglycan production was observed after exposure to the mixture of nimesulide and genistein. Phosphorylation of the EGF receptor (EGFR) was inhibited even more effective in the presence of indomethacin and nimesulide than in the presence of genistein. When examined the activity of phosphatidylinositol-3-kinase (PI3K) production, we observed its most significant decrease in the case of fibroblast exposition to nimesulide, and afterwards to indomethacin and genistein mix, rather than indomethacin used alone. Some effects on expression of individual GAG metabolism-related and lysosomal function genes, and significant activity modulation of a number of genes involved in intracellular signal transduction pathways and metabolism of DNA and proteins were detected. This study documents that NSAIDs, and their mixtures with genistein modulate cellular glycosaminoglycan synthesis by affecting EGFR and PI3K signaling pathways.", "author" : [ { "dropping-particle" : "", "family" : "Mozolewski", "given" : "Pawe\u0142", "non-dropping-particle" : "", "parse-names" : false, "suffix" : "" }, { "dropping-particle" : "", "family" : "Moskot", "given" : "Marta", "non-dropping-particle" : "", "parse-names" : false, "suffix" : "" }, { "dropping-particle" : "", "family" : "Jak\u00f3bkiewicz-Banecka", "given" : "Joanna", "non-dropping-particle" : "", "parse-names" : false, "suffix" : "" }, { "dropping-particle" : "", "family" : "W\u0119grzyn", "given" : "Grzegorz", "non-dropping-particle" : "", "parse-names" : false, "suffix" : "" }, { "dropping-particle" : "", "family" : "Boche\u0144ska", "given" : "Katarzyna", "non-dropping-particle" : "", "parse-names" : false, "suffix" : "" }, { "dropping-particle" : "", "family" : "Banecki", "given" : "Bogdan", "non-dropping-particle" : "", "parse-names" : false, "suffix" : "" }, { "dropping-particle" : "", "family" : "Gabig-Cimi\u0144ska", "given" : "Magdalena", "non-dropping-particle" : "", "parse-names" : false, "suffix" : "" } ], "container-title" : "Scientific Reports", "id" : "ITEM-1", "issued" : { "date-parts" : [ [ "2017", "2", "27" ] ] }, "page" : "43154", "title" : "Nonsteroidal anti-inflammatory drugs modulate cellular glycosaminoglycan synthesis by affecting EGFR and PI3K signaling pathways", "type" : "article-journal", "volume" : "7" }, "uris" : [ "http://www.mendeley.com/documents/?uuid=bfbdee63-ccac-3591-bef6-6d50f68b8d8b" ] } ], "mendeley" : { "formattedCitation" : "(Mozolewski et al., 2017)", "plainTextFormattedCitation" : "(Mozolewski et al., 2017)", "previouslyFormattedCitation" : "(Mozolewski et al., 2017)" }, "properties" : { "noteIndex" : 0 }, "schema" : "https://github.com/citation-style-language/schema/raw/master/csl-citation.json" }</w:instrText>
      </w:r>
      <w:r w:rsidR="006C4E42">
        <w:rPr>
          <w:lang w:val="en-US"/>
        </w:rPr>
        <w:fldChar w:fldCharType="separate"/>
      </w:r>
      <w:r w:rsidR="00B8446D" w:rsidRPr="00B8446D">
        <w:rPr>
          <w:noProof/>
          <w:lang w:val="en-US"/>
        </w:rPr>
        <w:t>(Mozolewski et al., 2017)</w:t>
      </w:r>
      <w:r w:rsidR="006C4E42">
        <w:rPr>
          <w:lang w:val="en-US"/>
        </w:rPr>
        <w:fldChar w:fldCharType="end"/>
      </w:r>
      <w:r w:rsidR="00FD1E7C">
        <w:rPr>
          <w:lang w:val="en-US"/>
        </w:rPr>
        <w:t>. To our knowledge, there are no reports about effects of indomethacin and nimesulide on global gene expression profile of human dermal fibroblasts. These data might however</w:t>
      </w:r>
      <w:r w:rsidR="00FD1E7C" w:rsidRPr="0069342A">
        <w:rPr>
          <w:lang w:val="en-US"/>
        </w:rPr>
        <w:t xml:space="preserve"> </w:t>
      </w:r>
      <w:r w:rsidR="00FD1E7C">
        <w:rPr>
          <w:lang w:val="en-US"/>
        </w:rPr>
        <w:t xml:space="preserve">be </w:t>
      </w:r>
      <w:r w:rsidR="00FD1E7C" w:rsidRPr="0069342A">
        <w:rPr>
          <w:lang w:val="en-US"/>
        </w:rPr>
        <w:t>important from the point of view of the safety of medicines, including the long-term treatments</w:t>
      </w:r>
      <w:r w:rsidR="00FD1E7C">
        <w:rPr>
          <w:lang w:val="en-US"/>
        </w:rPr>
        <w:t xml:space="preserve">. Thus, in this study we put emphasis </w:t>
      </w:r>
      <w:r w:rsidR="00FD1E7C" w:rsidRPr="00D65D2A">
        <w:rPr>
          <w:lang w:val="en-US"/>
        </w:rPr>
        <w:t>on quantitative changes in HDFa transcriptome</w:t>
      </w:r>
      <w:r w:rsidR="00FD1E7C">
        <w:rPr>
          <w:lang w:val="en-US"/>
        </w:rPr>
        <w:t xml:space="preserve"> and show that selected drugs slightly modulate transcriptome with only a few genes with expression altere</w:t>
      </w:r>
      <w:r w:rsidR="00946C10">
        <w:rPr>
          <w:lang w:val="en-US"/>
        </w:rPr>
        <w:t xml:space="preserve">d more than </w:t>
      </w:r>
      <w:r w:rsidR="00946C10" w:rsidRPr="000F35AB">
        <w:rPr>
          <w:lang w:val="en-US"/>
        </w:rPr>
        <w:t>twice (</w:t>
      </w:r>
      <w:r w:rsidR="000F35AB" w:rsidRPr="000F35AB">
        <w:rPr>
          <w:lang w:val="en-US"/>
        </w:rPr>
        <w:t>Tab.</w:t>
      </w:r>
      <w:r w:rsidR="00B719C0">
        <w:rPr>
          <w:lang w:val="en-US"/>
        </w:rPr>
        <w:t xml:space="preserve"> b</w:t>
      </w:r>
      <w:r w:rsidR="00946C10" w:rsidRPr="000F35AB">
        <w:rPr>
          <w:lang w:val="en-US"/>
        </w:rPr>
        <w:t>,</w:t>
      </w:r>
      <w:r w:rsidR="000F35AB" w:rsidRPr="000F35AB">
        <w:rPr>
          <w:lang w:val="en-US"/>
        </w:rPr>
        <w:t xml:space="preserve"> </w:t>
      </w:r>
      <w:r w:rsidR="00B719C0">
        <w:rPr>
          <w:lang w:val="en-US"/>
        </w:rPr>
        <w:t>c</w:t>
      </w:r>
      <w:r w:rsidR="00946C10" w:rsidRPr="000F35AB">
        <w:rPr>
          <w:lang w:val="en-US"/>
        </w:rPr>
        <w:t xml:space="preserve"> </w:t>
      </w:r>
      <w:r w:rsidR="00B719C0">
        <w:rPr>
          <w:lang w:val="en-US"/>
        </w:rPr>
        <w:t>and d</w:t>
      </w:r>
      <w:r w:rsidR="00FD1E7C" w:rsidRPr="000F35AB">
        <w:rPr>
          <w:lang w:val="en-US"/>
        </w:rPr>
        <w:t>). Moreover</w:t>
      </w:r>
      <w:r w:rsidR="00FD1E7C">
        <w:rPr>
          <w:lang w:val="en-US"/>
        </w:rPr>
        <w:t xml:space="preserve">, our recent studies have revealed modulation of expression of genes involved in </w:t>
      </w:r>
      <w:r w:rsidR="00FD1E7C" w:rsidRPr="00BE6358">
        <w:rPr>
          <w:lang w:val="en-US"/>
        </w:rPr>
        <w:t>basic metabolism</w:t>
      </w:r>
      <w:r w:rsidR="00FD1E7C">
        <w:rPr>
          <w:lang w:val="en-US"/>
        </w:rPr>
        <w:t xml:space="preserve"> which, as demonstrated recently, may contribute to cell cycle progression </w:t>
      </w:r>
      <w:r w:rsidR="006C4E42">
        <w:rPr>
          <w:lang w:val="en-US"/>
        </w:rPr>
        <w:fldChar w:fldCharType="begin" w:fldLock="1"/>
      </w:r>
      <w:r w:rsidR="00B8446D">
        <w:rPr>
          <w:lang w:val="en-US"/>
        </w:rPr>
        <w:instrText>ADDIN CSL_CITATION { "citationItems" : [ { "id" : "ITEM-1", "itemData" : { "DOI" : "10.1186/s12860-015-0062-8", "ISSN" : "1471-2121", "PMID" : "26017754", "abstract" : "BACKGROUND: Previously published reports indicated that some enzymes of the central carbon metabolism (CCM), particularly those involved in glycolysis and the tricarboxylic acid cycle, may contribute to regulation of DNA replication. However, vast majority of such works was performed with the use of cancer cells, in the light of carcinogenesis. On the other hand, recent experiments conducted on bacterial models provided evidence for the direct genetic link between CCM and DNA replication. Therefore, we asked if silencing of genes coding for glycolytic and/or Krebs cycle enzymes may affect the control of DNA replication in normal human fibroblasts.\\n\\nRESULTS: Particular genes coding for these enzymes were partially silenced with specific siRNAs. Such cells remained viable. We found that silencing of certain genes resulted in either less efficient or delayed enterance to the S phase. This concerned following genes: HK2, PFKM, TPI, GAPDH, ENO1, LDHA, CS1, ACO2, SUCLG2, SDHA, FH and MDH2. Decreased levels of expression of HK2, GADPH, CS1, ACO2, FH and MDH2 caused also a substantial impairment in DNA synthesis efficiency.\\n\\nCONCLUSIONS: The presented results illustrate the complexity of the influence of genes coding for enzymes of glycolysis and the tricarboxylic acid cycle on the control of DNA replication in human fibroblasts, and indicate which of them are especially important in this process.", "author" : [ { "dropping-particle" : "", "family" : "Konieczna", "given" : "Aleksandra", "non-dropping-particle" : "", "parse-names" : false, "suffix" : "" }, { "dropping-particle" : "", "family" : "Szczepa\u0144ska", "given" : "Aneta", "non-dropping-particle" : "", "parse-names" : false, "suffix" : "" }, { "dropping-particle" : "", "family" : "Sawiuk", "given" : "Karolina", "non-dropping-particle" : "", "parse-names" : false, "suffix" : "" }, { "dropping-particle" : "", "family" : "W\u0119grzyn", "given" : "Grzegorz", "non-dropping-particle" : "", "parse-names" : false, "suffix" : "" }, { "dropping-particle" : "", "family" : "\u0141y\u017ce\u0144", "given" : "Robert", "non-dropping-particle" : "", "parse-names" : false, "suffix" : "" } ], "container-title" : "BMC cell biology", "id" : "ITEM-1", "issue" : "1", "issued" : { "date-parts" : [ [ "2015" ] ] }, "page" : "16", "title" : "Effects of partial silencing of genes coding for enzymes involved in glycolysis and tricarboxylic acid cycle on the enterance of human fibroblasts to the S phase.", "type" : "article-journal", "volume" : "16" }, "uris" : [ "http://www.mendeley.com/documents/?uuid=6ffa858b-fad2-4683-9679-27979b762e2e" ] } ], "mendeley" : { "formattedCitation" : "(Konieczna et al., 2015)", "plainTextFormattedCitation" : "(Konieczna et al., 2015)", "previouslyFormattedCitation" : "(Konieczna et al., 2015)" }, "properties" : { "noteIndex" : 0 }, "schema" : "https://github.com/citation-style-language/schema/raw/master/csl-citation.json" }</w:instrText>
      </w:r>
      <w:r w:rsidR="006C4E42">
        <w:rPr>
          <w:lang w:val="en-US"/>
        </w:rPr>
        <w:fldChar w:fldCharType="separate"/>
      </w:r>
      <w:r w:rsidR="00B8446D" w:rsidRPr="00B8446D">
        <w:rPr>
          <w:noProof/>
          <w:lang w:val="en-US"/>
        </w:rPr>
        <w:t>(Konieczna et al., 2015)</w:t>
      </w:r>
      <w:r w:rsidR="006C4E42">
        <w:rPr>
          <w:lang w:val="en-US"/>
        </w:rPr>
        <w:fldChar w:fldCharType="end"/>
      </w:r>
      <w:r w:rsidR="00FD1E7C">
        <w:rPr>
          <w:lang w:val="en-US"/>
        </w:rPr>
        <w:t xml:space="preserve">. Some previous studies have shown that indomethacin and nimesulide can affect cell growth by increasing G0/G1 cells population in a range of cell types, mostly tumor </w:t>
      </w:r>
      <w:r w:rsidR="006C4E42">
        <w:rPr>
          <w:lang w:val="en-US"/>
        </w:rPr>
        <w:fldChar w:fldCharType="begin" w:fldLock="1"/>
      </w:r>
      <w:r w:rsidR="00B8446D">
        <w:rPr>
          <w:lang w:val="en-US"/>
        </w:rPr>
        <w:instrText>ADDIN CSL_CITATION { "citationItems" : [ { "id" : "ITEM-1", "itemData" : { "DOI" : "10.1211/002235702775", "ISSN" : "00223573", "author" : [ { "dropping-particle" : "", "family" : "Brooks", "given" : "Gavin", "non-dropping-particle" : "", "parse-names" : false, "suffix" : "" }, { "dropping-particle" : "", "family" : "Yu", "given" : "Xue-Mei", "non-dropping-particle" : "", "parse-names" : false, "suffix" : "" }, { "dropping-particle" : "", "family" : "Wang", "given" : "Yuequn", "non-dropping-particle" : "", "parse-names" : false, "suffix" : "" }, { "dropping-particle" : "", "family" : "Crabbe", "given" : "M. James C.", "non-dropping-particle" : "", "parse-names" : false, "suffix" : "" }, { "dropping-particle" : "", "family" : "Shattock", "given" : "Michael J.", "non-dropping-particle" : "", "parse-names" : false, "suffix" : "" }, { "dropping-particle" : "V.", "family" : "Harper", "given" : "Jane", "non-dropping-particle" : "", "parse-names" : false, "suffix" : "" } ], "container-title" : "Journal of Pharmacy and Pharmacology", "id" : "ITEM-1", "issue" : "4", "issued" : { "date-parts" : [ [ "2003", "4" ] ] }, "page" : "519-526", "publisher" : "Blackwell Publishing Ltd", "title" : "Non-steroidal anti-inflammatory drugs (NSAIDs) inhibit vascular smooth muscle cell proliferation via differential effects on the cell cycle", "type" : "article-journal", "volume" : "55" }, "uris" : [ "http://www.mendeley.com/documents/?uuid=51d353b3-a2dd-3403-a1db-6a9fe7e45596" ] }, { "id" : "ITEM-2", "itemData" : { "DOI" : "10.1177/1099800411398933", "ISBN" : "1552-4175 (Electronic)\\r1099-8004 (Linking)", "ISSN" : "1552-4175", "PMID" : "21385796", "abstract" : "Nonsteroidal anti-inflammatory drugs (NSAIDs) are among the most widely prescribed drugs worldwide and serve as treatment of some degenerative inflammatory joint diseases. The aim of the present study was to investigate the influence of different concentrations of three NSAIDs on cell proliferation, differentiation, antigenic profile, and cell cycle in the human MG-63 osteosarcoma cell line, incubated for 24 hr. All NSAIDs had an inhibiting effect on osteoblastic proliferation. Treatments for 24 hr had small but significant effects on the antigenic profile. No treatment altered osteocalcin synthesis. Indomethacin and nimesulide treatments arrested the cell cycle at G0/G1. These results suggest that indomethacin, nimesulide, and diclofenac appear to have no effects on osteocalcin synthesis and a slight effect on the antigenic profile. They may delay bone regeneration due to their inhibiting effect on osteoblast growth. Therefore, these drugs should only be used in situations that do not require rapid bone healing. \u00a9 SAGE Publications 2012.", "author" : [ { "dropping-particle" : "", "family" : "D\u00edaz-Rodr\u00edguez", "given" : "L.a", "non-dropping-particle" : "", "parse-names" : false, "suffix" : "" }, { "dropping-particle" : "", "family" : "Garc\u00eda-Mart\u00ednez", "given" : "O.b", "non-dropping-particle" : "", "parse-names" : false, "suffix" : "" }, { "dropping-particle" : "", "family" : "Arroyo-Morales", "given" : "M.a", "non-dropping-particle" : "", "parse-names" : false, "suffix" : "" }, { "dropping-particle" : "", "family" : "Rodr\u00edguez-P\u00e9rez", "given" : "L.c", "non-dropping-particle" : "", "parse-names" : false, "suffix" : "" }, { "dropping-particle" : "", "family" : "Rubio-Ruiz", "given" : "B.d", "non-dropping-particle" : "", "parse-names" : false, "suffix" : "" }, { "dropping-particle" : "", "family" : "Ruiz", "given" : "C.a d", "non-dropping-particle" : "", "parse-names" : false, "suffix" : "" } ], "container-title" : "Biological Research for Nursing", "id" : "ITEM-2", "issue" : "1", "issued" : { "date-parts" : [ [ "2012" ] ] }, "page" : "98-107", "title" : "Effects of indomethacin, nimesulide, and diclofenac on human mg-63 osteosarcoma cell line", "type" : "article-journal", "volume" : "14" }, "uris" : [ "http://www.mendeley.com/documents/?uuid=681c155f-4910-4d72-b4be-540f44db961d" ] }, { "id" : "ITEM-3", "itemData" : { "DOI" : "10.1177/1099800414527155", "ISSN" : "1099-8004, 1552-4175", "PMID" : "25384313", "abstract" : "Some nonsteroidal anti-inflammatory drugs (NSAIDs) have adverse effects on bone tissue. The objective of this study was to determine the effect of different doses of dexketoprofen, ketorolac, and metamizole on growth of the osteoblast MG63 cell line. 3-(4,5-Dimethylthiazol-2-yl)-2,5-diphenyltetrazolium bromide spectrophotometry results showed that MG63 cell growth was significantly inhibited after 24 hr of culture with doses of 10, 20, 100, or 1,000 \u00b5M of each NSAID and with doses of 0.1, 1, or 5 \u00b5M of dexketoprofen and ketorolac but not metamizole. Cell-cycle studies revealed that dexketoprofen and ketorolac treatments significantly arrested the cell cycle in phase G0/G1, increasing the percentage of cells in this phase. Apoptosis/necrosis studies showed significant changes versus control cells, with an increased percentage of cells in apoptosis after treatment with 10, 100, or 1,000 \u00b5M of metamizole and after treatment with 1, 10, 100, or 1,000 \u00b5M of dexketoprofen or ketorolac. In conclusion, treatment of osteoblast-like cells with high doses of the NSAIDs tested increased not only the percentage of cells in apoptosis but also the percentage of necrotic cells.", "author" : [ { "dropping-particle" : "", "family" : "Luna-Bertos", "given" : "Elvira", "non-dropping-particle" : "De", "parse-names" : false, "suffix" : "" }, { "dropping-particle" : "", "family" : "Ramos-Torrecillas", "given" : "Javier", "non-dropping-particle" : "", "parse-names" : false, "suffix" : "" }, { "dropping-particle" : "", "family" : "Manzano-Moreno", "given" : "Francisco Javier", "non-dropping-particle" : "", "parse-names" : false, "suffix" : "" }, { "dropping-particle" : "", "family" : "Garc\u00eda-Mart\u00ednez", "given" : "Olga", "non-dropping-particle" : "", "parse-names" : false, "suffix" : "" }, { "dropping-particle" : "", "family" : "Ruiz", "given" : "Concepci\u00f3n", "non-dropping-particle" : "", "parse-names" : false, "suffix" : "" } ], "container-title" : "Biological Research For Nursing", "id" : "ITEM-3", "issue" : "1", "issued" : { "date-parts" : [ [ "2014" ] ] }, "page" : "1099800414527155", "title" : "Effects on Growth of Human Osteoblast-Like Cells of Three Nonsteroidal Anti-Inflammatory Drugs Metamizole, Dexketoprofen, and Ketorolac", "type" : "article-journal", "volume" : "17" }, "uris" : [ "http://www.mendeley.com/documents/?uuid=88ff98eb-c51b-4f5e-bd42-4c3e66a20202" ] }, { "id" : "ITEM-4", "itemData" : { "DOI" : "10.1038/sj.bjc.6600289", "ISBN" : "0007-0920 (Print)", "ISSN" : "00070920", "PMID" : "11986787", "abstract" : "Numerous studies demonstrate that the chemopreventive effect of non-steroidal anti-inflammatory drugs on colon cancer is mediated through inhibition of cell growth and induction of apoptosis. For these effects non-steroidal anti-inflammatory drugs have been recently employed as sensitising agents in chemotherapy. We have shown previously that treatments with aspirin and NS-398, a cyclo-oxygenase-2 selective inhibitor, affect proliferation, differentiation and apoptosis of the human colon adenocarcinoma Caco-2 cells. In the present study, we have evaluated the effects of aspirin and NS-398 non-steroidal anti-inflammatory drugs on sensitivity of Caco-2 cells to irinotecan (CPT 11) and etoposide (Vp-16) topoisomerase poisons. We find that aspirin co-treatment is able to prevent anticancer drug-induced toxicity, whereas NS-398 co-treatment poorly affects anticancer drug-induced apoptosis. These effects correlate with the different ability of aspirin and NS-398 to interfere with cell cycle during anticancer drug co-treatment. Furthermore, aspirin treatment is associated with an increase in bcl-2 expression, which persists in the presence of the anticancer drugs. Our data indicate that aspirin, but not NS-398, determines a cell cycle arrest associated with death suppression. This provides a plausible mechanism for the inhibition of apoptosis and increase in survival observed in anticancer drug and aspirin co-treatment.", "author" : [ { "dropping-particle" : "", "family" : "Ricchi", "given" : "P", "non-dropping-particle" : "", "parse-names" : false, "suffix" : "" }, { "dropping-particle" : "", "family" : "Matola", "given" : "T", "non-dropping-particle" : "Di", "parse-names" : false, "suffix" : "" }, { "dropping-particle" : "", "family" : "Ruggiero", "given" : "G", "non-dropping-particle" : "", "parse-names" : false, "suffix" : "" }, { "dropping-particle" : "", "family" : "Zanzi", "given" : "D", "non-dropping-particle" : "", "parse-names" : false, "suffix" : "" }, { "dropping-particle" : "", "family" : "Apicella", "given" : "a", "non-dropping-particle" : "", "parse-names" : false, "suffix" : "" }, { "dropping-particle" : "", "family" : "Palma", "given" : "a", "non-dropping-particle" : "di", "parse-names" : false, "suffix" : "" }, { "dropping-particle" : "", "family" : "Pensabene", "given" : "M", "non-dropping-particle" : "", "parse-names" : false, "suffix" : "" }, { "dropping-particle" : "", "family" : "Pignata", "given" : "S", "non-dropping-particle" : "", "parse-names" : false, "suffix" : "" }, { "dropping-particle" : "", "family" : "Zarrilli", "given" : "R", "non-dropping-particle" : "", "parse-names" : false, "suffix" : "" }, { "dropping-particle" : "", "family" : "Acquaviva", "given" : "a M", "non-dropping-particle" : "", "parse-names" : false, "suffix" : "" } ], "container-title" : "British journal of cancer", "id" : "ITEM-4", "issue" : "9", "issued" : { "date-parts" : [ [ "2002" ] ] }, "page" : "1501-1509", "title" : "Effect of non-steroidal anti-inflammatory drugs on colon carcinoma Caco-2 cell responsiveness to topoisomerase inhibitor drugs.", "type" : "article-journal", "volume" : "86" }, "uris" : [ "http://www.mendeley.com/documents/?uuid=652b10ae-8cd3-4c61-aa99-44d9a5f564e0" ] }, { "id" : "ITEM-5", "itemData" : { "DOI" : "10.1371/journal.pone.0061836", "ISSN" : "19326203", "PMID" : "23637916", "abstract" : "Epidemiological studies have shown that the regular use of non-steroidal anti-inflammatory (NSAIDs) drugs is associated with a reduced risk of various cancers. In addition, in vitro and experiments in mouse models have demonstrated that NSAIDs decrease tumor initiation and/or progression of several cancers. However, there are limited preclinical studies investigating the effects of NSAIDs in ovarian cancer. Here, we have studied the effects of two NSAIDs, diclofenac and indomethacin, in ovarian cancer cell lines and in a xenograft mouse model. Diclofenac and indomethacin treatment decreased cell growth by inducing cell cycle arrest and apoptosis. In addition, diclofenac and indomethacin reduced tumor volume in a xenograft model of ovarian cancer. To identify possible molecular pathways mediating the effects of NSAID treatment in ovarian cancer, we performed microarray analysis of ovarian cancer cells treated with indomethacin or diclofenac. Interestingly, several of the genes found downregulated following diclofenac or indomethacin treatment are transcriptional target genes of E2F1. E2F1 was downregulated at the mRNA and protein level upon treatment with diclofenac and indomethacin, and overexpression of E2F1 rescued cells from the growth inhibitory effects of diclofenac and indomethacin. In conclusion, NSAIDs diclofenac and indomethacin exert an anti-proliferative effect in ovarian cancer in vitro and in vivo and the effects of NSAIDs may be mediated, in part, by downregulation of E2F1.", "author" : [ { "dropping-particle" : "", "family" : "Valle", "given" : "Blanca L.", "non-dropping-particle" : "", "parse-names" : false, "suffix" : "" }, { "dropping-particle" : "", "family" : "D'Souza", "given" : "Theresa", "non-dropping-particle" : "", "parse-names" : false, "suffix" : "" }, { "dropping-particle" : "", "family" : "Becker", "given" : "Kevin G.", "non-dropping-particle" : "", "parse-names" : false, "suffix" : "" }, { "dropping-particle" : "", "family" : "Wood", "given" : "William H.", "non-dr</w:instrText>
      </w:r>
      <w:r w:rsidR="00B8446D" w:rsidRPr="00FA5ECE">
        <w:rPr>
          <w:lang w:val="sv-SE"/>
        </w:rPr>
        <w:instrText>opping-particle" : "", "parse-names" : false, "suffix" : "" }, { "dropping-particle" : "", "family" : "Zhang", "given" : "Yongqing", "non-dropping-particle" : "", "parse-names" : false, "suffix" : "" }, { "dropping-particle" : "", "family" : "Wersto", "given" : "Robert P.", "non-dropping-particle" : "", "parse-names" : false, "suffix" : "" }, { "dropping-particle" : "", "family" : "Morin", "given" : "Patrice J.", "non-dropping-particle" : "", "parse-names" : false, "suffix" : "" } ], "container-title" : "PLoS ONE", "id" : "ITEM-5", "issue" : "4", "issued" : { "date-parts" : [ [ "2013" ] ] }, "title" : "Non-Steroidal Anti-inflammatory Drugs Decrease E2F1 Expression and Inhibit Cell Growth in Ovarian Cancer Cells", "type" : "article-journal", "volume" : "8" }, "uris" : [ "http://www.mendeley.com/documents/?uuid=a3a64f52-4f3c-4a3a-b186-f8013d44bf0a" ] } ], "mendeley" : { "formattedCitation" : "(Brooks et al., 2003; De Luna-Bertos et al., 2014; D\u00edaz-Rodr\u00edguez et al., 2012; Ricchi et al., 2002; Valle et al., 2013)", "plainTextFormattedCitation" : "(Brooks et al., 2003; De Luna-Bertos et al., 2014; D\u00edaz-Rodr\u00edguez et al., 2012; Ricchi et al., 2002; Valle et al., 2013)", "previouslyFormattedCitation" : "(Brooks et al., 2003; De Luna-Bertos et al., 2014; D\u00edaz-Rodr\u00edguez et al., 2012; Ricchi et al., 2002; Valle et al., 2013)" }, "properties" : { "noteIndex" : 0 }, "schema" : "https://github.com/citation-style-language/schema/raw/master/csl-citation.json" }</w:instrText>
      </w:r>
      <w:r w:rsidR="006C4E42">
        <w:rPr>
          <w:lang w:val="en-US"/>
        </w:rPr>
        <w:fldChar w:fldCharType="separate"/>
      </w:r>
      <w:r w:rsidR="00B8446D" w:rsidRPr="00FA5ECE">
        <w:rPr>
          <w:noProof/>
          <w:lang w:val="sv-SE"/>
        </w:rPr>
        <w:t>(Brooks et al., 2003; De Luna-Bertos et al., 2014; Díaz-Rodríguez et al., 2012; Ricchi et al., 2002; Valle et al., 2013)</w:t>
      </w:r>
      <w:r w:rsidR="006C4E42">
        <w:rPr>
          <w:lang w:val="en-US"/>
        </w:rPr>
        <w:fldChar w:fldCharType="end"/>
      </w:r>
      <w:r w:rsidR="00FD1E7C" w:rsidRPr="00FA5ECE">
        <w:rPr>
          <w:lang w:val="sv-SE"/>
        </w:rPr>
        <w:t xml:space="preserve">. </w:t>
      </w:r>
      <w:r w:rsidR="00FD1E7C">
        <w:rPr>
          <w:lang w:val="en-US"/>
        </w:rPr>
        <w:t xml:space="preserve">Since our transcriptomic analysis has revealed that some of the most up- and down-regulated genes are involved in regulation of cell cycle we have analyzed the proportion of cells in the </w:t>
      </w:r>
      <w:r w:rsidR="00FD1E7C" w:rsidRPr="00A01FFD">
        <w:rPr>
          <w:lang w:val="en-US"/>
        </w:rPr>
        <w:t>G0/G1, S, and G2/M</w:t>
      </w:r>
      <w:r w:rsidR="00FD1E7C">
        <w:rPr>
          <w:lang w:val="en-US"/>
        </w:rPr>
        <w:t xml:space="preserve"> phase after 24 h treatment with 10 µM indomethacin or 25 µM nimesulide. In the previous study the most significant inhibition for both drugs was observed after 24 h </w:t>
      </w:r>
      <w:r w:rsidR="006C4E42">
        <w:rPr>
          <w:lang w:val="en-US"/>
        </w:rPr>
        <w:fldChar w:fldCharType="begin" w:fldLock="1"/>
      </w:r>
      <w:r w:rsidR="00B8446D">
        <w:rPr>
          <w:lang w:val="en-US"/>
        </w:rPr>
        <w:instrText>ADDIN CSL_CITATION { "citationItems" : [ { "id" : "ITEM-1", "itemData" : { "DOI" : "10.1038/srep43154", "ISSN" : "2045-2322", "PMID" : "28240227", "abstract" : "In this report, selected non-steroidal anti-inflammatory drugs (NSAIDs), indomethacin and nimesulide, and analgesics acetaminophen, alone, as well as in combination with isoflavone genistein as potential glycosaminoglycan (GAG) metabolism modulators were considered for the treatment of mucopolysaccharidoses (MPSs) with neurological symptoms due to the effective blood-brain barrier (BBB) penetration properties of these compounds. We found that indomethacin and nimesulide, but not acetaminophen, inhibited GAG synthesis in fibroblasts significantly, while the most pronounced impairment of glycosaminoglycan production was observed after exposure to the mixture of nimesulide and genistein. Phosphorylation of the EGF receptor (EGFR) was inhibited even more effective in the presence of indomethacin and nimesulide than in the presence of genistein. When examined the activity of phosphatidylinositol-3-kinase (PI3K) production, we observed its most significant decrease in the case of fibroblast exposition to nimesulide, and afterwards to indomethacin and genistein mix, rather than indomethacin used alone. Some effects on expression of individual GAG metabolism-related and lysosomal function genes, and significant activity modulation of a number of genes involved in intracellular signal transduction pathways and metabolism of DNA and proteins were detected. This study documents that NSAIDs, and their mixtures with genistein modulate cellular glycosaminoglycan synthesis by affecting EGFR and PI3K signaling pathways.", "author" : [ { "dropping-particle" : "", "family" : "Mozolewski", "given" : "Pawe\u0142", "non-dropping-particle" : "", "parse-names" : false, "suffix" : "" }, { "dropping-particle" : "", "family" : "Moskot", "given" : "Marta", "non-dropping-particle" : "", "parse-names" : false, "suffix" : "" }, { "dropping-particle" : "", "family" : "Jak\u00f3bkiewicz-Banecka", "given" : "Joanna", "non-dropping-particle" : "", "parse-names" : false, "suffix" : "" }, { "dropping-particle" : "", "family" : "W\u0119grzyn", "given" : "Grzegorz", "non-dropping-particle" : "", "parse-names" : false, "suffix" : "" }, { "dropping-particle" : "", "family" : "Boche\u0144ska", "given" : "Katarzyna", "non-dropping-particle" : "", "parse-names" : false, "suffix" : "" }, { "dropping-particle" : "", "family" : "Banecki", "given" : "Bogdan", "non-dropping-particle" : "", "parse-names" : false, "suffix" : "" }, { "dropping-particle" : "", "family" : "Gabig-Cimi\u0144ska", "given" : "Magdalena", "non-dropping-particle" : "", "parse-names" : false, "suffix" : "" } ], "container-title" : "Scientific Reports", "id" : "ITEM-1", "issued" : { "date-parts" : [ [ "2017", "2", "27" ] ] }, "page" : "43154", "title" : "Nonsteroidal anti-inflammatory drugs modulate cellular glycosaminoglycan synthesis by affecting EGFR and PI3K signaling pathways", "type" : "article-journal", "volume" : "7" }, "uris" : [ "http://www.mendeley.com/documents/?uuid=bfbdee63-ccac-3591-bef6-6d50f68b8d8b" ] } ], "mendeley" : { "formattedCitation" : "(Mozolewski et al., 2017)", "plainTextFormattedCitation" : "(Mozolewski et al., 2017)", "previouslyFormattedCitation" : "(Mozolewski et al., 2017)" }, "properties" : { "noteIndex" : 0 }, "schema" : "https://github.com/citation-style-language/schema/raw/master/csl-citation.json" }</w:instrText>
      </w:r>
      <w:r w:rsidR="006C4E42">
        <w:rPr>
          <w:lang w:val="en-US"/>
        </w:rPr>
        <w:fldChar w:fldCharType="separate"/>
      </w:r>
      <w:r w:rsidR="00B8446D" w:rsidRPr="00B8446D">
        <w:rPr>
          <w:noProof/>
          <w:lang w:val="en-US"/>
        </w:rPr>
        <w:t>(Mozolewski et al., 2017)</w:t>
      </w:r>
      <w:r w:rsidR="006C4E42">
        <w:rPr>
          <w:lang w:val="en-US"/>
        </w:rPr>
        <w:fldChar w:fldCharType="end"/>
      </w:r>
      <w:r w:rsidR="00FD1E7C">
        <w:rPr>
          <w:lang w:val="en-US"/>
        </w:rPr>
        <w:t xml:space="preserve">, thus, this time of exposure was implemented in the study of cell cycle progression. Interestingly, we did not find any </w:t>
      </w:r>
      <w:r w:rsidR="00FD1E7C" w:rsidRPr="000F35AB">
        <w:rPr>
          <w:lang w:val="en-US"/>
        </w:rPr>
        <w:t>significant changes in the normal HDFa cell distribution after drugs treatm</w:t>
      </w:r>
      <w:r w:rsidR="00946C10" w:rsidRPr="000F35AB">
        <w:rPr>
          <w:lang w:val="en-US"/>
        </w:rPr>
        <w:t>ent compared to control (</w:t>
      </w:r>
      <w:r w:rsidR="000F35AB" w:rsidRPr="000F35AB">
        <w:rPr>
          <w:lang w:val="en-US"/>
        </w:rPr>
        <w:t>Tab.</w:t>
      </w:r>
      <w:r w:rsidR="00B719C0">
        <w:rPr>
          <w:lang w:val="en-US"/>
        </w:rPr>
        <w:t xml:space="preserve"> e</w:t>
      </w:r>
      <w:r w:rsidR="00FD1E7C" w:rsidRPr="000F35AB">
        <w:rPr>
          <w:lang w:val="en-US"/>
        </w:rPr>
        <w:t xml:space="preserve">). </w:t>
      </w:r>
    </w:p>
    <w:p w:rsidR="00FD1E7C" w:rsidRDefault="00FD1E7C" w:rsidP="00675710">
      <w:pPr>
        <w:autoSpaceDE w:val="0"/>
        <w:autoSpaceDN w:val="0"/>
        <w:adjustRightInd w:val="0"/>
        <w:spacing w:line="480" w:lineRule="auto"/>
        <w:ind w:firstLine="708"/>
        <w:rPr>
          <w:lang w:val="en-US"/>
        </w:rPr>
      </w:pPr>
      <w:r>
        <w:rPr>
          <w:lang w:val="en-US"/>
        </w:rPr>
        <w:t>Our previously reported results have shown that indomethacin and nimesulide, especially in the combination with isoflavone genistein, can be considered as a method for improvement of efficiency of therapy f</w:t>
      </w:r>
      <w:r w:rsidR="00DB4D30">
        <w:rPr>
          <w:lang w:val="en-US"/>
        </w:rPr>
        <w:t xml:space="preserve">or mucopolysaccharidoses </w:t>
      </w:r>
      <w:r w:rsidR="006C4E42">
        <w:rPr>
          <w:lang w:val="en-US"/>
        </w:rPr>
        <w:fldChar w:fldCharType="begin" w:fldLock="1"/>
      </w:r>
      <w:r w:rsidR="00B8446D">
        <w:rPr>
          <w:lang w:val="en-US"/>
        </w:rPr>
        <w:instrText>ADDIN CSL_CITATION { "citationItems" : [ { "id" : "ITEM-1", "itemData" : { "DOI" : "10.1038/srep43154", "ISSN" : "2045-2322", "PMID" : "28240227", "abstract" : "In this report, selected non-steroidal anti-inflammatory drugs (NSAIDs), indomethacin and nimesulide, and analgesics acetaminophen, alone, as well as in combination with isoflavone genistein as potential glycosaminoglycan (GAG) metabolism modulators were considered for the treatment of mucopolysaccharidoses (MPSs) with neurological symptoms due to the effective blood-brain barrier (BBB) penetration properties of these compounds. We found that indomethacin and nimesulide, but not acetaminophen, inhibited GAG synthesis in fibroblasts significantly, while the most pronounced impairment of glycosaminoglycan production was observed after exposure to the mixture of nimesulide and genistein. Phosphorylation of the EGF receptor (EGFR) was inhibited even more effective in the presence of indomethacin and nimesulide than in the presence of genistein. When examined the activity of phosphatidylinositol-3-kinase (PI3K) production, we observed its most significant decrease in the case of fibroblast exposition to nimesulide, and afterwards to indomethacin and genistein mix, rather than indomethacin used alone. Some effects on expression of individual GAG metabolism-related and lysosomal function genes, and significant activity modulation of a number of genes involved in intracellular signal transduction pathways and metabolism of DNA and proteins were detected. This study documents that NSAIDs, and their mixtures with genistein modulate cellular glycosaminoglycan synthesis by affecting EGFR and PI3K signaling pathways.", "author" : [ { "dropping-particle" : "", "family" : "Mozolewski", "given" : "Pawe\u0142", "non-dropping-particle" : "", "parse-names" : false, "suffix" : "" }, { "dropping-particle" : "", "family" : "Moskot", "given" : "Marta", "non-dropping-particle" : "", "parse-names" : false, "suffix" : "" }, { "dropping-particle" : "", "family" : "Jak\u00f3bkiewicz-Banecka", "given" : "Joanna", "non-dropping-particle" : "", "parse-names" : false, "suffix" : "" }, { "dropping-particle" : "", "family" : "W\u0119grzyn", "given" : "Grzegorz", "non-dropping-particle" : "", "parse-names" : false, "suffix" : "" }, { "dropping-particle" : "", "family" : "Boche\u0144ska", "given" : "Katarzyna", "non-dropping-particle" : "", "parse-names" : false, "suffix" : "" }, { "dropping-particle" : "", "family" : "Banecki", "given" : "Bogdan", "non-dropping-particle" : "", "parse-names" : false, "suffix" : "" }, { "dropping-particle" : "", "family" : "Gabig-Cimi\u0144ska", "given" : "Magdalena", "non-dropping-particle" : "", "parse-names" : false, "suffix" : "" } ], "container-title" : "Scientific Reports", "id" : "ITEM-1", "issued" : { "date-parts" : [ [ "2017", "2", "27" ] ] }, "page" : "43154", "title" : "Nonsteroidal anti-inflammatory drugs modulate cellular glycosaminoglycan synthesis by affecting EGFR and PI3K signaling pathways", "type" : "article-journal", "volume" : "7" }, "uris" : [ "http://www.mendeley.com/documents/?uuid=bfbdee63-ccac-3591-bef6-6d50f68b8d8b" ] } ], "mendeley" : { "formattedCitation" : "(Mozolewski et al., 2017)", "plainTextFormattedCitation" : "(Mozolewski et al., 2017)", "previouslyFormattedCitation" : "(Mozolewski et al., 2017)" }, "properties" : { "noteIndex" : 0 }, "schema" : "https://github.com/citation-style-language/schema/raw/master/csl-citation.json" }</w:instrText>
      </w:r>
      <w:r w:rsidR="006C4E42">
        <w:rPr>
          <w:lang w:val="en-US"/>
        </w:rPr>
        <w:fldChar w:fldCharType="separate"/>
      </w:r>
      <w:r w:rsidR="00B8446D" w:rsidRPr="00B8446D">
        <w:rPr>
          <w:noProof/>
          <w:lang w:val="en-US"/>
        </w:rPr>
        <w:t>(Mozolewski et al., 2017)</w:t>
      </w:r>
      <w:r w:rsidR="006C4E42">
        <w:rPr>
          <w:lang w:val="en-US"/>
        </w:rPr>
        <w:fldChar w:fldCharType="end"/>
      </w:r>
      <w:r>
        <w:rPr>
          <w:lang w:val="en-US"/>
        </w:rPr>
        <w:t xml:space="preserve">. Thus, in this study we decided to investigate the influence of these two </w:t>
      </w:r>
      <w:r w:rsidR="00DB4D30">
        <w:rPr>
          <w:lang w:val="en-US"/>
        </w:rPr>
        <w:t>drugs</w:t>
      </w:r>
      <w:r>
        <w:rPr>
          <w:lang w:val="en-US"/>
        </w:rPr>
        <w:t xml:space="preserve"> on cell cycle in fibroblasts</w:t>
      </w:r>
      <w:r w:rsidR="00DB4D30">
        <w:rPr>
          <w:lang w:val="en-US"/>
        </w:rPr>
        <w:t xml:space="preserve"> from patients suffering from </w:t>
      </w:r>
      <w:r w:rsidR="00DB4D30" w:rsidRPr="00855350">
        <w:rPr>
          <w:rStyle w:val="ref-title"/>
          <w:lang w:val="en-US"/>
        </w:rPr>
        <w:t>mucopolysaccharidosis type I and II</w:t>
      </w:r>
      <w:r>
        <w:rPr>
          <w:lang w:val="en-US"/>
        </w:rPr>
        <w:t xml:space="preserve">. We detected a slight, </w:t>
      </w:r>
      <w:r w:rsidRPr="000F35AB">
        <w:rPr>
          <w:lang w:val="en-US"/>
        </w:rPr>
        <w:t>but statistically significant effects of tested compounds on</w:t>
      </w:r>
      <w:r w:rsidR="00946C10" w:rsidRPr="000F35AB">
        <w:rPr>
          <w:lang w:val="en-US"/>
        </w:rPr>
        <w:t>ly in MPS I fibroblasts (</w:t>
      </w:r>
      <w:r w:rsidR="000F35AB" w:rsidRPr="000F35AB">
        <w:rPr>
          <w:lang w:val="en-US"/>
        </w:rPr>
        <w:t>Tab.</w:t>
      </w:r>
      <w:r w:rsidR="00565F29">
        <w:rPr>
          <w:lang w:val="en-US"/>
        </w:rPr>
        <w:t xml:space="preserve"> e</w:t>
      </w:r>
      <w:r w:rsidRPr="000F35AB">
        <w:rPr>
          <w:lang w:val="en-US"/>
        </w:rPr>
        <w:t>). Interestingly, we noticed an increased (</w:t>
      </w:r>
      <w:r w:rsidR="00432223" w:rsidRPr="000F35AB">
        <w:rPr>
          <w:lang w:val="en-US"/>
        </w:rPr>
        <w:t>P</w:t>
      </w:r>
      <w:r w:rsidRPr="000F35AB">
        <w:rPr>
          <w:lang w:val="en-US"/>
        </w:rPr>
        <w:t xml:space="preserve"> &lt; 0.05) G2/M fraction of MPS I and MPS II cells in comparison to HDFa cells</w:t>
      </w:r>
      <w:r w:rsidR="008960A4" w:rsidRPr="000F35AB">
        <w:rPr>
          <w:lang w:val="en-US"/>
        </w:rPr>
        <w:t xml:space="preserve"> (Fig.</w:t>
      </w:r>
      <w:r w:rsidRPr="000F35AB">
        <w:rPr>
          <w:lang w:val="en-US"/>
        </w:rPr>
        <w:t xml:space="preserve"> 1). These </w:t>
      </w:r>
      <w:r>
        <w:rPr>
          <w:lang w:val="en-US"/>
        </w:rPr>
        <w:t xml:space="preserve">data are partially consistent with recently published results, which showed that after 24 h of incubation G2/M fraction of MPS II fibroblasts increased relative to </w:t>
      </w:r>
      <w:r w:rsidR="00DB4D30">
        <w:rPr>
          <w:lang w:val="en-US"/>
        </w:rPr>
        <w:t>normal fibroblasts</w:t>
      </w:r>
      <w:r>
        <w:rPr>
          <w:lang w:val="en-US"/>
        </w:rPr>
        <w:t xml:space="preserve"> </w:t>
      </w:r>
      <w:r w:rsidR="006C4E42">
        <w:rPr>
          <w:lang w:val="en-US"/>
        </w:rPr>
        <w:fldChar w:fldCharType="begin" w:fldLock="1"/>
      </w:r>
      <w:r w:rsidR="00B8446D">
        <w:rPr>
          <w:lang w:val="en-US"/>
        </w:rPr>
        <w:instrText>ADDIN CSL_CITATION { "citationItems" : [ { "id" : "ITEM-1", "itemData" : { "DOI" : "10.1016/j.gene.2016.03.029", "ISBN" : "0378-1119", "ISSN" : "18790038", "PMID" : "27016302", "abstract" : "Mucopolysaccharidoses (MPSs) are inherited metabolic diseases caused by mutations resulting in deficiency of one of enzymes involved in degradation of glycosaminoglycans (GAGs). These compounds accumulate in cells causing their dysfunctions. Genistein is a molecule previously found to both modify GAG metabolism and modulate cell cycle. Therefore, we investigated whether the cell cycle is affected in MPS cells and if genistein can influence this process. Fibroblasts derived from patients suffering from MPS types I, II, IIIA and IIIB, as well as normal human fibroblasts (the HDFa cell line) were investigated. MTT assay was used for determination of cell proliferation, and the cell cycle was analyzed by using the MUSE?? Cell Analyzer. While effects of genistein on cell proliferation were similar in both normal and MPS fibroblasts, fractions of cells in the G0/G1 phase were higher, and number of cells entering the S and G2/M phases was considerably lower in MPS II fibroblasts relative to control cells. Somewhat similar tendency, though significantly less pronounced, could be noted in MPS I, but only at longer times of incubation. However, this was not observed in MPS IIIA and MPS IIIB fibroblasts. Genistein (5, 7-dihydroxy-3-(4-hydroxyphenyl)-4H-1-benzopyran-4-one) was found to be able to partially correct the disturbances in the MPS II cell cycle, and to some extent in MPS I, at higher concentrations of this compound. The tendency to increase the fractions of cells entering the S and G2/M phases was also observed in MPS IIIA and IIIB fibroblasts treated with genistein. In conclusion, this is the first report indicating that the cell cycle can be impaired in MPS cells. The finding that genistein can improve the MPS II (and to some extent also MPS I) cell cycle provides an input to our knowledge on the molecular mechanisms of action of this compound.", "author" : [ { "dropping-particle" : "", "family" : "Moskot", "given" : "Marta", "non-dropping-particle" : "", "parse-names" : false, "suffix" : "" }, { "dropping-particle" : "", "family" : "Gabig-Cimi\u0144ska", "given" : "Magdalena", "non-dropping-particle" : "", "parse-names" : false, "suffix" : "" }, { "dropping-particle" : "", "family" : "Jak\u00f3bkiewicz-Banecka", "given" : "Joanna", "non-dropping-particle" : "", "parse-names" : false, "suffix" : "" }, { "dropping-particle" : "", "family" : "Wesi\u0119rska", "given" : "Magdalena", "non-dropping-particle" : "", "parse-names" : false, "suffix" : "" }, { "dropping-particle" : "", "family" : "Boche\u0144ska", "given" : "Katarzyna", "non-dropping-particle" : "", "parse-names" : false, "suffix" : "" }, { "dropping-particle" : "", "family" : "W\u0119grzyn", "given" : "Grzegorz", "non-dropping-particle" : "", "parse-names" : false, "suffix" : "" } ], "container-title" : "Gene", "id" : "ITEM-1", "issue" : "1", "issued" : { "date-parts" : [ [ "2016" ] ] }, "page" : "100-103", "title" : "Cell cycle is disturbed in mucopolysaccharidosis type II fibroblasts, and can be improved by genistein", "type" : "article-journal", "volume" : "585" }, "uris" : [ "http://www.mendeley.com/documents/?uuid=0b38436d-cecd-4a65-93d0-184088a514a7" ] } ], "mendeley" : { "formattedCitation" : "(Moskot et al., 2016)", "plainTextFormattedCitation" : "(Moskot et al., 2016)", "previouslyFormattedCitation" : "(Moskot et al., 2016)" }, "properties" : { "noteIndex" : 0 }, "schema" : "https://github.com/citation-style-language/schema/raw/master/csl-citation.json" }</w:instrText>
      </w:r>
      <w:r w:rsidR="006C4E42">
        <w:rPr>
          <w:lang w:val="en-US"/>
        </w:rPr>
        <w:fldChar w:fldCharType="separate"/>
      </w:r>
      <w:r w:rsidR="00B8446D" w:rsidRPr="00B8446D">
        <w:rPr>
          <w:noProof/>
          <w:lang w:val="en-US"/>
        </w:rPr>
        <w:t>(Moskot et al., 2016)</w:t>
      </w:r>
      <w:r w:rsidR="006C4E42">
        <w:rPr>
          <w:lang w:val="en-US"/>
        </w:rPr>
        <w:fldChar w:fldCharType="end"/>
      </w:r>
      <w:r>
        <w:rPr>
          <w:lang w:val="en-US"/>
        </w:rPr>
        <w:t xml:space="preserve">. </w:t>
      </w:r>
    </w:p>
    <w:p w:rsidR="00FD1E7C" w:rsidRDefault="00FD1E7C" w:rsidP="00141C26">
      <w:pPr>
        <w:autoSpaceDE w:val="0"/>
        <w:autoSpaceDN w:val="0"/>
        <w:adjustRightInd w:val="0"/>
        <w:spacing w:line="480" w:lineRule="auto"/>
        <w:ind w:firstLine="708"/>
        <w:rPr>
          <w:lang w:val="en-US"/>
        </w:rPr>
      </w:pPr>
      <w:r>
        <w:rPr>
          <w:lang w:val="en-US"/>
        </w:rPr>
        <w:t xml:space="preserve">So far, the main focus has been put on investigating the role of NSAIDs in variety of tumors cell lines and very little attention has been given to the effect of these drugs on untransformed cells. </w:t>
      </w:r>
      <w:r w:rsidRPr="005F5836">
        <w:rPr>
          <w:lang w:val="en-US"/>
        </w:rPr>
        <w:t>The advantage of this</w:t>
      </w:r>
      <w:r>
        <w:rPr>
          <w:lang w:val="en-US"/>
        </w:rPr>
        <w:t xml:space="preserve"> study, in relation to previous works </w:t>
      </w:r>
      <w:r w:rsidRPr="005F5836">
        <w:rPr>
          <w:lang w:val="en-US"/>
        </w:rPr>
        <w:t xml:space="preserve">is </w:t>
      </w:r>
      <w:r>
        <w:rPr>
          <w:lang w:val="en-US"/>
        </w:rPr>
        <w:t xml:space="preserve">that the results presented here </w:t>
      </w:r>
      <w:r w:rsidRPr="005F5836">
        <w:rPr>
          <w:lang w:val="en-US"/>
        </w:rPr>
        <w:t>were obtained</w:t>
      </w:r>
      <w:r>
        <w:rPr>
          <w:lang w:val="en-US"/>
        </w:rPr>
        <w:t xml:space="preserve"> from normal, human dermal fibroblasts. It is worth to mention, that there are some contradictory results concerning effects of NSAIDs on cell cycle, probably dependent on chemical classes, doses and duration of treatment </w:t>
      </w:r>
      <w:r w:rsidR="006C4E42">
        <w:rPr>
          <w:lang w:val="en-US"/>
        </w:rPr>
        <w:fldChar w:fldCharType="begin" w:fldLock="1"/>
      </w:r>
      <w:r w:rsidR="00B8446D">
        <w:rPr>
          <w:lang w:val="en-US"/>
        </w:rPr>
        <w:instrText>ADDIN CSL_CITATION { "citationItems" : [ { "id" : "ITEM-1", "itemData" : { "DOI" : "10.1211/002235702775", "ISSN" : "00223573", "author" : [ { "dropping-particle" : "", "family" : "Brooks", "given" : "Gavin", "non-dropping-particle" : "", "parse-names" : false, "suffix" : "" }, { "dropping-particle" : "", "family" : "Yu", "given" : "Xue-Mei", "non-dropping-particle" : "", "parse-names" : false, "suffix" : "" }, { "dropping-particle" : "", "family" : "Wang", "given" : "Yuequn", "non-dropping-particle" : "", "parse-names" : false, "suffix" : "" }, { "dropping-particle" : "", "family" : "Crabbe", "given" : "M. James C.", "non-dropping-particle" : "", "parse-names" : false, "suffix" : "" }, { "dropping-particle" : "", "family" : "Shattock", "given" : "Michael J.", "non-dropping-particle" : "", "parse-names" : false, "suffix" : "" }, { "dropping-particle" : "V.", "family" : "Harper", "given" : "Jane", "non-dropping-particle" : "", "parse-names" : false, "suffix" : "" } ], "container-title" : "Journal of Pharmacy and Pharmacology", "id" : "ITEM-1", "issue" : "4", "issued" : { "date-parts" : [ [ "2003", "4" ] ] }, "page" : "519-526", "publisher" : "Blackwell Publishing Ltd", "title" : "Non-steroidal anti-inflammatory drugs (NSAIDs) inhibit vascular smooth muscle cell proliferation via differential effects on the cell cycle", "type" : "article-journal", "volume" : "55" }, "uris" : [ "http://www.mendeley.com/documents/?uuid=51d353b3-a2dd-3403-a1db-6a9fe7e45596" ] }, { "id" : "ITEM-2", "itemData" : { "DOI" : "10.1177/1099800414527155", "ISSN" : "1099-8004, 1552-4175", "PMID" : "25384313", "abstract" : "Some nonsteroidal anti-inflammatory drugs (NSAIDs) have adverse effects on bone tissue. The objective of this study was to determine the effect of different doses of dexketoprofen, ketorolac, and metamizole on growth of the osteoblast MG63 cell line. 3-(4,5-Dimethylthiazol-2-yl)-2,5-diphenyltetrazolium bromide spectrophotometry results showed that MG63 cell growth was significantly inhibited after 24 hr of culture with doses of 10, 20, 100, or 1,000 \u00b5M of each NSAID and with doses of 0.1, 1, or 5 \u00b5M of dexketoprofen and ketorolac but not metamizole. Cell-cycle studies revealed that dexketoprofen and ketorolac treatments significantly arrested the cell cycle in phase G0/G1, increasing the percentage of cells in this phase. Apoptosis/necrosis studies showed significant changes versus control cells, with an increased percentage of cells in apoptosis after treatment with 10, 100, or 1,000 \u00b5M of metamizole and after treatment with 1, 10, 100, or 1,000 \u00b5M of dexketoprofen or ketorolac. In conclusion, treatment of osteoblast-like cells with high doses of the NSAIDs tested increased not only the percentage of cells in apoptosis but also the percentage of necrotic cells.", "author" : [ { "dropping-particle" : "", "family" : "Luna-Bertos", "given" : "Elvira", "non-dropping-particle" : "De", "parse-names" : false, "suffix" : "" }, { "dropping-particle" : "", "family" : "Ramos-Torrecillas", "given" : "Javier", "non-dropping-particle" : "", "parse-names" : false, "suffix" : "" }, { "dropping-particle" : "", "family" : "Manzano-Moreno", "given" : "Francisco Javier", "non-dropping-particle" : "", "parse-names" : false, "suffix" : "" }, { "dropping-particle" : "", "family" : "Garc\u00eda-Mart\u00ednez", "given" : "Olga", "non-dropping-particle" : "", "parse-names" : false, "suffix" : "" }, { "dropping-particle" : "", "family" : "Ruiz", "given" : "Concepci\u00f3n", "non-dropping-particle" : "", "parse-names" : false, "suffix" : "" } ], "container-title" : "Biological Research For Nursing", "id" : "ITEM-2", "issue" : "1", "issued" : { "date-parts" : [ [ "2014" ] ] }, "page" : "1099800414527155", "title" : "Effects on Growth of Human Osteoblast-Like Cells of Three Nonsteroidal Anti-Inflammatory Drugs Metamizole, Dexketoprofen, and Ketorolac", "type" : "article-journal", "volume" : "17" }, "uris" : [ "http://www.mendeley.com/documents/?uuid=88ff98eb-c51b-4f5e-bd42-4c3e66a20202" ] }, { "id" : "ITEM-3", "itemData" : { "DOI" : "10.1016/j.ejphar.2006.01.008", "ISSN" : "00142999", "PMID" : "16487511", "abstract" : "Nonsteroidal anti-inflammatory drugs (NSAIDs) are widely used drugs for the treatment of inflammatory disease and have a chemopreventive effect in a variety of tumors. Several studies have demonstrated unequivocally that certain NSAIDs cause antiproliferative effects independent of cyclooxygenase (COX) activity. In this study, we investigated the effect of chemically unrelated NSAIDs in the proliferation of glioma cell lines and the possible mechanisms involved in indomethacin-mediated inhibition of proliferation in glioma cells lines. The glioma cell lines were treated with NSAIDs and proliferation was measured by cell counting. Indomethacin, acetaminophen, sulindac sulfide and NS-398 (N-[2-cyclohexyloxy)-4-nitrophenyl]methane-sulfonamide) induced a time- and concentration-dependent inhibition of C6 rat glioma cell proliferation. The inhibition of COX by chemically unrelated NSAIDs leads to inhibition of rat and human glioma cell proliferation. The tetrazolium reduction assay (MTT) indicated a reduction in cell viability induced by indomethacin. None of the NSAIDs tested induced caspase-3/7 activation, assayed with a fluorigenic substrate. The indomethacin-induced inhibition of C6 cells proliferation was abrogated by the use of the c-Src inhibitor, PP2 and the MEK inhibitor, PD 098059, suggesting COX-independent mechanisms. Indomethacin decreased the percentage of cells in the S phase, with relative increases in the G0/G1 and/or the G2/M phase. NSAIDs may be clinically important for pharmacological intervention in gliomas. \u00a9 2006 Elsevier B.V. All rights reserved.", "author" : [ { "dropping-particle" : "", "family" : "Bernardi", "given" : "Andressa", "non-dropping-particle"</w:instrText>
      </w:r>
      <w:r w:rsidR="00B8446D" w:rsidRPr="00FA5ECE">
        <w:rPr>
          <w:lang w:val="sv-SE"/>
        </w:rPr>
        <w:instrText xml:space="preserve"> : "", "parse-names" : false, "suffix" : "" }, { "dropping-particle" : "", "family" : "Jacques-Silva", "given" : "Maria C.", "non-dropping-particle" : "", "parse-names" : false, "suffix" : "" }, { "dropping-particle" : "", "family" : "Delgado-Ca\u00f1edo", "given" : "Andr\u00e9s", "non-dropping-particle" : "", "parse-names" : false, "suffix" : "" }, { "dropping-particle" : "", "family" : "Lenz", "given" : "Guido", "non-dropping-particle" : "", "parse-names" : false, "suffix" : "" }, { "dropping-particle" : "", "family" : "Battastini", "given" : "A. M O", "non-dropping-particle" : "", "parse-names" : false, "suffix" : "" } ], "container-title" : "European Journal of Pharmacology", "id" : "ITEM-3", "issue" : "3", "issued" : { "date-parts" : [ [ "2006" ] ] }, "page" : "214-222", "title" : "Nonsteroidal anti-inflammatory drugs inhibit the growth of C6 and U138-MG glioma cell lines", "type" : "article-journal", "volume" : "532" }, "uris" : [ "http://www.mendeley.com/documents/?uuid=e60ae4f2-8a2f-424c-9dae-f7e7983493c7" ] } ], "mendeley" : { "formattedCitation" : "(Bernardi et al., 2006; Brooks et al., 2003; De Luna-Bertos et al., 2014)", "plainTextFormattedCitation" : "(Bernardi et al., 2006; Brooks et al., 2003; De Luna-Bertos et al., 2014)", "previouslyFormattedCitation" : "(Bernardi et al., 2006; Brooks et al., 2003; De Luna-Bertos et al., 2014)" }, "properties" : { "noteIndex" : 0 }, "schema" : "https://github.com/citation-style-language/schema/raw/master/csl-citation.json" }</w:instrText>
      </w:r>
      <w:r w:rsidR="006C4E42">
        <w:rPr>
          <w:lang w:val="en-US"/>
        </w:rPr>
        <w:fldChar w:fldCharType="separate"/>
      </w:r>
      <w:r w:rsidR="00B8446D" w:rsidRPr="00FA5ECE">
        <w:rPr>
          <w:noProof/>
          <w:lang w:val="sv-SE"/>
        </w:rPr>
        <w:t>(Bernardi et al., 2006; Brooks et al., 2003; De Luna-Bertos et al., 2014)</w:t>
      </w:r>
      <w:r w:rsidR="006C4E42">
        <w:rPr>
          <w:lang w:val="en-US"/>
        </w:rPr>
        <w:fldChar w:fldCharType="end"/>
      </w:r>
      <w:r w:rsidRPr="00FA5ECE">
        <w:rPr>
          <w:lang w:val="sv-SE"/>
        </w:rPr>
        <w:t xml:space="preserve">. </w:t>
      </w:r>
      <w:r>
        <w:rPr>
          <w:lang w:val="en-US"/>
        </w:rPr>
        <w:t xml:space="preserve">Therefore, better comparative data from </w:t>
      </w:r>
      <w:r w:rsidRPr="003216AA">
        <w:rPr>
          <w:i/>
          <w:lang w:val="en-US"/>
        </w:rPr>
        <w:t>in vitro</w:t>
      </w:r>
      <w:r>
        <w:rPr>
          <w:lang w:val="en-US"/>
        </w:rPr>
        <w:t xml:space="preserve"> studies, using clinically realistic doses of NSAIDs, are required. As there is growing evidence in the literature that NSAIDs can affect crucial cellular pathways leading to numerous changes </w:t>
      </w:r>
      <w:r w:rsidR="006C4E42">
        <w:rPr>
          <w:lang w:val="en-US"/>
        </w:rPr>
        <w:fldChar w:fldCharType="begin" w:fldLock="1"/>
      </w:r>
      <w:r w:rsidR="00B8446D">
        <w:rPr>
          <w:lang w:val="en-US"/>
        </w:rPr>
        <w:instrText>ADDIN CSL_CITATION { "citationItems" : [ { "id" : "ITEM-1", "itemData" : { "DOI" : "10.1111/j.1471-4159.2004.02743.x", "ISBN" : "0022-3042 (Print)\\r0022-3042 (Linking)", "ISSN" : "00223042", "PMID" : "15485484", "abstract" : "Alzheimer's disease (AD) is characterized by cerebral deposits of beta-amyloid (A beta) peptides and neurofibrillary tangles (NFT) which are surrounded by inflammatory cells. Epidemiological studies have shown that prolonged use of non-steroidal anti-inflammatory drugs (NSAIDs) reduces the risk of developing AD and delays the onset of the disease. It has been postulated that some NSAIDs target pathological hallmarks of AD by interacting with several pathways, including the inhibition of cyclooxygenases (COX) and activation of the peroxisome proliferator-activated receptor gamma. A variety of experimental studies indicate that a subset of NSAIDs such as ibuprofen, flurbiprofen, indomethacin and sulindac also possess A beta-lowering properties in both AD transgenic mice and cell cultures of peripheral, glial and neuronal origin. While COX inhibition occurs at low concentrations in vitro (nM-low microm range), the A beta-lowering activity is observed at high concentrations (&lt; or = 50 microm). Nonetheless, studies with flurbiprofen or ibuprofen in AD transgenic mice show that the effects on A beta levels or deposition are attained at plasma levels similar to those achieved in humans at therapeutic dosage. Still, it remains to be assessed whether adequate concentrations are reached in the brain. This is a crucial aspect that will allow defining the dose-window and the length of treatment in future clinical trials. Here, we will discuss how the combination of anti-amyloidogenic and anti-inflammatory activities of certain NSAIDs may produce a profile potentially relevant to their clinical use as disease-modifying agents for the treatment of AD.", "author" : [ { "dropping-particle" : "", "family" : "Gasparini", "given" : "Laura", "non-dropping-particle" : "", "parse-names" : false, "suffix" : "" }, { "dropping-particle" : "", "family" : "Ongini", "given" : "Ennio", "non-dropping-particle" : "", "parse-names" : false, "suffix" : "" }, { "dropping-particle" : "", "family" : "Wenk", "given" : "Gary", "non-dropping-particle" : "", "parse-names" : false, "suffix" : "" } ], "container-title" : "Journal of Neurochemistry", "id" : "ITEM-1", "issue" : "3", "issued" : { "date-parts" : [ [ "2004" ] ] }, "page" : "521-536", "title" : "Non-steroidal anti-inflammatory drugs (NSAIDs) in Alzheimer's disease: Old and new mechanisms of action", "type" : "article-journal", "volume" : "91" }, "uris" : [ "http://www.mendeley.com/documents/?uuid=876ce56a-6328-4a6c-890d-4053a343108c" ] }, { "id" : "ITEM-2", "itemData" : { "DOI" : "10.3892/mco.2014.446", "ISSN" : "2049-9450", "author" : [ { "dropping-particle" : "", "family" : "Hilovska", "given" : "Lucia", "non-dropping-particle" : "", "parse-names" : false, "suffix" : "" }, { "dropping-particle" : "", "family" : "Jendzelovsky", "given" : "Rastislav", "non-dropping-particle" : "", "parse-names" : false, "suffix" : "" }, { "dropping-particle" : "", "family" : "Fedorocko", "given" : "Peter", "non-dropping-particle" : "", "parse-names" : false, "suffix" : "" } ], "container-title" : "Molecular and Clinical Oncology", "id" : "ITEM-2", "issued" : { "date-parts" : [ [ "2014" ] ] }, "page" : "3-12", "title" : "Potency of non-steroidal anti-inflammatory drugs in chemotherapy (Review)", "type" : "article-journal" }, "uris" : [ "http://www.mendeley.com/documents/?uuid=f9669694-ca49-4f88-8636-8dd92f5508a6" ] }, { "id" : "ITEM-3", "itemData" : { "DOI" : "10.1016/j.ejogrb.2012.05.018", "ISSN" : "03012115", "PMID" : "22656329", "abstract" : "Objectives: Endometrial cancer remains a leading cause of death in women and therefore the development of new therapies is essential. The present study evaluated the effects of nimesulide alone, cisplatin alone, and combination of cisplatin and nimesulide on an Ishikawa cell line with respect to cytotoxicity and induction of apoptosis in vitro. Study design: Ishikawa cells were treated with increasing doses of nimesulide alone, cisplatin alone, and a combination of cisplatin and nimesulide. Subsequently their effects on cytotoxicity were investigated by MTT assay, while apoptosis was investigated by DAPI and JC-1 staining and caspase-3 colorimetric assays. Results: 3-(4,5-Dimethylthiazol-2- yl)-2,5-diphenyltetrazolium bromide assay showed that nimesulide alone and combination of cisplatin and nimesulide have growth inhibitory effect on Ishikawa cells. Nimesulide alone and the combination of cisplatin and nimesulide induced apoptosis. Apoptosis induced by nimesulide might be related to caspase-3 activation. Conclusions: These results suggest that nimesulide treatment is as effective as cisplatin treatment in Ishikawa cells. The combination of cisplatin and nimesulide treatment is more effective than cisplatin alone in Ishikawa cells. \u00a9 2012 Elsevier Ireland Ltd. All rights reserved.", "author" : [ { "dropping-particle" : "", "family" : "\u00d6zalp", "given" : "S. Sinan", "non-dropping-particle" : "", "parse-names" : false, "suffix" : "" }, { "dropping-particle" : "", "family" : "Eren", "given" : "Ceren Yildiz", "non-dropping-particle" : "", "parse-names" : false, "suffix" : "" }, { "dropping-particle" : "", "family" : "Bostancioglu", "given" : "Rakibe Beklem", "non-dropping-particle" : "", "parse-names" : false, "suffix" : "" }, { "dropping-particle" : "", "family" : "Koparal", "given" : "Ay\u015fe Tansu", "non-dropping-particle" : "", "parse-names" : false, "suffix" : "" } ], "container-title" : "European Journal of Obstetrics Gynecology and Reproductive Biology", "id" : "ITEM-3", "issue" : "1", "issued" : { "date-parts" : [ [ "2012" ] ] }, "page" : "79-84", "title" : "Induction of apoptosis and inhibition of cell proliferation by the cyclooxgenase enzyme blocker nimesulide in the Ishikawa endometrial cancer cell line", "type" : "article-journal", "volume" : "164" }, "uris" : [ "http://www.mendeley.com/documents/?uuid=d7e6a4aa-887f-437f-9d50-07d5f2891cb6" ] } ], "mendeley" : { "formattedCitation" : "(Gasparini et al., 2004; Hilovska et al., 2014; \u00d6zalp et al., 2012)", "plainTextFormattedCitation" : "(Gasparini et al., 2004; Hilovska et al., 2014; \u00d6zalp et al., 2012)", "previouslyFormattedCitation" : "(Gasparini et al., 2004; Hilovska et al., 2014; \u00d6zalp et al., 2012)" }, "properties" : { "noteIndex" : 0 }, "schema" : "https://github.com/citation-style-language/schema/raw/master/csl-citation.json" }</w:instrText>
      </w:r>
      <w:r w:rsidR="006C4E42">
        <w:rPr>
          <w:lang w:val="en-US"/>
        </w:rPr>
        <w:fldChar w:fldCharType="separate"/>
      </w:r>
      <w:r w:rsidR="00B8446D" w:rsidRPr="00B8446D">
        <w:rPr>
          <w:noProof/>
          <w:lang w:val="en-US"/>
        </w:rPr>
        <w:t>(Gasparini et al., 2004; Hilovska et al., 2014; Özalp et al., 2012)</w:t>
      </w:r>
      <w:r w:rsidR="006C4E42">
        <w:rPr>
          <w:lang w:val="en-US"/>
        </w:rPr>
        <w:fldChar w:fldCharType="end"/>
      </w:r>
      <w:r>
        <w:rPr>
          <w:lang w:val="en-US"/>
        </w:rPr>
        <w:t>, it is important to expand our knowledge concerning non-steroidal anti-inflammatory drugs.</w:t>
      </w:r>
    </w:p>
    <w:p w:rsidR="00FD1E7C" w:rsidRDefault="00FD1E7C" w:rsidP="006A1857">
      <w:pPr>
        <w:spacing w:line="480" w:lineRule="auto"/>
        <w:rPr>
          <w:lang w:val="en-US"/>
        </w:rPr>
      </w:pPr>
    </w:p>
    <w:p w:rsidR="00FD1E7C" w:rsidRDefault="00FD1E7C" w:rsidP="006A1857">
      <w:pPr>
        <w:spacing w:line="480" w:lineRule="auto"/>
        <w:rPr>
          <w:b/>
          <w:lang w:val="en-US"/>
        </w:rPr>
      </w:pPr>
      <w:r>
        <w:rPr>
          <w:b/>
          <w:lang w:val="en-US"/>
        </w:rPr>
        <w:t>COMPETING INTERESTS</w:t>
      </w:r>
    </w:p>
    <w:p w:rsidR="00FD1E7C" w:rsidRDefault="00FD1E7C" w:rsidP="006A1857">
      <w:pPr>
        <w:spacing w:line="480" w:lineRule="auto"/>
        <w:rPr>
          <w:lang w:val="en-US"/>
        </w:rPr>
      </w:pPr>
      <w:r w:rsidRPr="00157342">
        <w:rPr>
          <w:lang w:val="en-US"/>
        </w:rPr>
        <w:t>The authors declare that they have no conflict of interest.</w:t>
      </w:r>
    </w:p>
    <w:p w:rsidR="004B1BB8" w:rsidRPr="00F53680" w:rsidRDefault="004B1BB8" w:rsidP="006A1857">
      <w:pPr>
        <w:spacing w:line="480" w:lineRule="auto"/>
        <w:rPr>
          <w:lang w:val="en-US"/>
        </w:rPr>
      </w:pPr>
    </w:p>
    <w:p w:rsidR="00FD1E7C" w:rsidRPr="006A1857" w:rsidRDefault="00FD1E7C" w:rsidP="006A1857">
      <w:pPr>
        <w:spacing w:line="480" w:lineRule="auto"/>
        <w:rPr>
          <w:b/>
          <w:lang w:val="en-US"/>
        </w:rPr>
      </w:pPr>
      <w:r w:rsidRPr="006A1857">
        <w:rPr>
          <w:b/>
          <w:lang w:val="en-US"/>
        </w:rPr>
        <w:t>ACKNOWLEDGMENTS</w:t>
      </w:r>
    </w:p>
    <w:p w:rsidR="00FD1E7C" w:rsidRPr="006A1857" w:rsidRDefault="00FD1E7C" w:rsidP="006A1857">
      <w:pPr>
        <w:spacing w:line="480" w:lineRule="auto"/>
        <w:rPr>
          <w:lang w:val="en-US"/>
        </w:rPr>
      </w:pPr>
      <w:r w:rsidRPr="006A1857">
        <w:rPr>
          <w:lang w:val="en-US"/>
        </w:rPr>
        <w:t xml:space="preserve">This work was supported by </w:t>
      </w:r>
      <w:r w:rsidR="00DB4D30">
        <w:rPr>
          <w:lang w:val="en-US"/>
        </w:rPr>
        <w:t xml:space="preserve">the </w:t>
      </w:r>
      <w:r w:rsidRPr="006A1857">
        <w:rPr>
          <w:lang w:val="en-US"/>
        </w:rPr>
        <w:t>National Science Centre</w:t>
      </w:r>
      <w:r w:rsidR="00934DF2">
        <w:rPr>
          <w:lang w:val="en-US"/>
        </w:rPr>
        <w:t xml:space="preserve"> (Poland)</w:t>
      </w:r>
      <w:r w:rsidRPr="006A1857">
        <w:rPr>
          <w:lang w:val="en-US"/>
        </w:rPr>
        <w:t xml:space="preserve"> (project grant no. UMO-2011/01/B/NZ1/03686)</w:t>
      </w:r>
      <w:r>
        <w:rPr>
          <w:lang w:val="en-US"/>
        </w:rPr>
        <w:t xml:space="preserve"> and University of Gdańsk (task </w:t>
      </w:r>
      <w:r w:rsidRPr="006B3A76">
        <w:rPr>
          <w:lang w:val="en-US"/>
        </w:rPr>
        <w:t>grant no. 538-L140-B936-15</w:t>
      </w:r>
      <w:r>
        <w:rPr>
          <w:lang w:val="en-US"/>
        </w:rPr>
        <w:t>)</w:t>
      </w:r>
      <w:r w:rsidRPr="006A1857">
        <w:rPr>
          <w:lang w:val="en-US"/>
        </w:rPr>
        <w:t>.</w:t>
      </w:r>
    </w:p>
    <w:p w:rsidR="00FD1E7C" w:rsidRPr="006A1857" w:rsidRDefault="00FD1E7C" w:rsidP="006A1857">
      <w:pPr>
        <w:spacing w:line="480" w:lineRule="auto"/>
        <w:rPr>
          <w:lang w:val="en-US"/>
        </w:rPr>
      </w:pPr>
    </w:p>
    <w:p w:rsidR="00FD1E7C" w:rsidRPr="006A1857" w:rsidRDefault="00FD1E7C" w:rsidP="006837A3">
      <w:pPr>
        <w:spacing w:line="480" w:lineRule="auto"/>
        <w:rPr>
          <w:b/>
          <w:lang w:val="en-US"/>
        </w:rPr>
      </w:pPr>
      <w:r w:rsidRPr="006A1857">
        <w:rPr>
          <w:b/>
          <w:lang w:val="en-US"/>
        </w:rPr>
        <w:t>REFERENCES</w:t>
      </w:r>
    </w:p>
    <w:p w:rsidR="00C61DF4" w:rsidRPr="00855350" w:rsidRDefault="006C4E42" w:rsidP="006837A3">
      <w:pPr>
        <w:widowControl w:val="0"/>
        <w:autoSpaceDE w:val="0"/>
        <w:autoSpaceDN w:val="0"/>
        <w:adjustRightInd w:val="0"/>
        <w:spacing w:line="480" w:lineRule="auto"/>
        <w:ind w:left="480" w:hanging="480"/>
        <w:rPr>
          <w:noProof/>
          <w:lang w:val="en-US"/>
        </w:rPr>
      </w:pPr>
      <w:r>
        <w:rPr>
          <w:lang w:val="en-US"/>
        </w:rPr>
        <w:fldChar w:fldCharType="begin" w:fldLock="1"/>
      </w:r>
      <w:r w:rsidR="00FD1E7C">
        <w:rPr>
          <w:lang w:val="en-US"/>
        </w:rPr>
        <w:instrText xml:space="preserve">ADDIN Mendeley Bibliography CSL_BIBLIOGRAPHY </w:instrText>
      </w:r>
      <w:r>
        <w:rPr>
          <w:lang w:val="en-US"/>
        </w:rPr>
        <w:fldChar w:fldCharType="separate"/>
      </w:r>
      <w:r w:rsidR="00C61DF4" w:rsidRPr="00855350">
        <w:rPr>
          <w:noProof/>
          <w:lang w:val="en-US"/>
        </w:rPr>
        <w:t>Bernardi, A., Jacques-Silva, M.C., Delgado-Cañedo, A., Lenz, G., Battastini, A.M.O., 2006. Nonsteroidal anti-inflammatory drugs inhibit the growth of C6 and U138-MG glioma cell lines. Eur. J. Pharmacol. 532, 214–222. doi:10.1016/j.ejphar.2006.01.008</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Brooks, G., Yu, X.-M., Wang, Y., Crabbe, M.J.C., Shattock, M.J., Harper, J. V., 2003. Non-steroidal anti-inflammatory drugs (NSAIDs) inhibit vascular smooth muscle cell proliferation via differential effects on the cell cycle. J. Pharm. Pharmacol. 55, 519–526. doi:10.1211/002235702775</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Chang, J.-K., Li, C.-J., Liao, H.-J., Wang, C.-K., Wang, G.-J., Ho, M.-L., 2009. Anti-inflammatory drugs suppress proliferation and induce apoptosis through altering expressions of cell cycle regulators and pro-apoptotic factors in cultured human osteoblasts. Toxicology 258, 148–56. doi:10.1016/j.tox.2009.01.016</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Chang, J.-K., Li, C.-J., Wu, S.-C., Yeh, C.-H., Chen, C.-H., Fu, Y.-C., Wang, G.-J., Ho, M.-L., 2007. Effects of anti-inflammatory drugs on proliferation, cytotoxicity and osteogenesis in bone marrow mesenchymal stem cells. Biochem. Pharmacol. 74, 1371–82. doi:10.1016/j.bcp.2007.06.047</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Conaghan, P.G., 2012. A turbulent decade for NSAIDs: update on current concepts of classification, epidemiology, comparative efficacy, and toxicity. Rheumatol. Int. 32, 1491–502. doi:10.1007/s00296-011-2263-6</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De Luna-Bertos, E., Ramos-Torrecillas, J., Manzano-Moreno, F.J., García-Martínez, O., Ruiz, C., 2014. Effects on Growth of Human Osteoblast-Like Cells of Three Nonsteroidal Anti-Inflammatory Drugs Metamizole, Dexketoprofen, and Ketorolac. Biol. Res. Nurs. 17, 1099800414527155. doi:10.1177/1099800414527155</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Díaz-Rodríguez, L.., García-Martínez, O.., Arroyo-Morales, M.., Rodríguez-Pérez, L.., Rubio-Ruiz, B.., Ruiz, C.. d, 2012. Effects of indomethacin, nimesulide, and diclofenac on human mg-63 osteosarcoma cell line. Biol. Res. Nurs. 14, 98–107. doi:10.1177/1099800411398933</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Dingle, J.T., 1999. The effects of NSAID on the matrix of human articular cartilages. Z. Rheumatol. 58, 125–129. doi:10.1007/s003930050161</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Ettarh, R., Cullen, A., Calamai, A., 2010. NSAIDs and cell proliferation in colorectal cancer. Pharmaceuticals 3, 2007–2021. doi:10.3390/ph3072007</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Gasparini, L., Ongini, E., Wenk, G., 2004. Non-steroidal anti-inflammatory drugs (NSAIDs) in Alzheimer’s disease: Old and new mechanisms of action. J. Neurochem. 91, 521–536. doi:10.1111/j.1471-4159.2004.02743.x</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Hilovska, L., Jendzelovsky, R., Fedorocko, P., 2014. Potency of non-steroidal anti-inflammatory drugs in chemotherapy (Review). Mol. Clin. Oncol. 3–12. doi:10.3892/mco.2014.446</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Huerta, C., Aberturas, M. del R., Molpeceres, J., 2015. Nimesulide-loaded nanoparticles for the potential coadjuvant treatment of prostate cancer. Int. J. Pharm. 493, 152–160. doi:10.1016/j.ijpharm.2015.07.027</w:t>
      </w:r>
    </w:p>
    <w:p w:rsidR="00C61DF4" w:rsidRPr="00C61DF4" w:rsidRDefault="00C61DF4" w:rsidP="006837A3">
      <w:pPr>
        <w:widowControl w:val="0"/>
        <w:autoSpaceDE w:val="0"/>
        <w:autoSpaceDN w:val="0"/>
        <w:adjustRightInd w:val="0"/>
        <w:spacing w:line="480" w:lineRule="auto"/>
        <w:ind w:left="480" w:hanging="480"/>
        <w:rPr>
          <w:noProof/>
        </w:rPr>
      </w:pPr>
      <w:r w:rsidRPr="00855350">
        <w:rPr>
          <w:noProof/>
          <w:lang w:val="en-US"/>
        </w:rPr>
        <w:t xml:space="preserve">Jeyakumar, M., Smith, D.A., Williams, I.M., Borja, M.C., Neville, D.C.A., Butters, T.D., Dwek, R.A., Platt, F.M., 2004. NSAIDs increase survival in the Sandhoff disease mouse: Synergy withN-butyldeoxynojirimycin. </w:t>
      </w:r>
      <w:r w:rsidRPr="00C61DF4">
        <w:rPr>
          <w:noProof/>
        </w:rPr>
        <w:t>Ann. Neurol. 56, 642–649. doi:10.1002/ana.20242</w:t>
      </w:r>
    </w:p>
    <w:p w:rsidR="00C61DF4" w:rsidRPr="00855350" w:rsidRDefault="00C61DF4" w:rsidP="006837A3">
      <w:pPr>
        <w:widowControl w:val="0"/>
        <w:autoSpaceDE w:val="0"/>
        <w:autoSpaceDN w:val="0"/>
        <w:adjustRightInd w:val="0"/>
        <w:spacing w:line="480" w:lineRule="auto"/>
        <w:ind w:left="480" w:hanging="480"/>
        <w:rPr>
          <w:noProof/>
          <w:lang w:val="en-US"/>
        </w:rPr>
      </w:pPr>
      <w:r w:rsidRPr="00C61DF4">
        <w:rPr>
          <w:noProof/>
        </w:rPr>
        <w:t xml:space="preserve">Konieczna, A., Szczepańska, A., Sawiuk, K., Węgrzyn, G., Łyżeń, R., 2015. </w:t>
      </w:r>
      <w:r w:rsidRPr="00855350">
        <w:rPr>
          <w:noProof/>
          <w:lang w:val="en-US"/>
        </w:rPr>
        <w:t>Effects of partial silencing of genes coding for enzymes involved in glycolysis and tricarboxylic acid cycle on the enterance of human fibroblasts to the S phase. BMC Cell Biol. 16, 16. doi:10.1186/s12860-015-0062-8</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Liu, J.-R., Wu, W.-J., Liu, S.-X., Zuo, L.-F., Wang, Y., Yang, J.-Z., Nan, Y.-M., 2015. Nimesulide inhibits the growth of human esophageal carcinoma cells by inactivating the JAK2/STAT3 pathway. Pathol. Res. Pract. 211, 426–434. doi:10.1016/j.prp.2015.01.007</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Miura, S., Tatsuguchi, A., Wada, K., Takeyama, H., Shinji, Y., Hiratsuka, T., Futagami, S., Miyake, K., Gudis, K., Mizokami, Y., Matsuoka, T., Sakamoto, C., 2004. Cyclooxygenase-2-regulated vascular endothelial growth factor release in gastric fibroblasts. AJP Gastrointest. Liver Physiol. 287, G444–G451. doi:10.1152/ajpgi.00537.2003</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Moskot, M., Gabig-Cimińska, M., Jakóbkiewicz-Banecka, J., Wesięrska, M., Bocheńska, K., Węgrzyn, G., 2016. Cell cycle is disturbed in mucopolysaccharidosis type II fibroblasts, and can be improved by genistein. Gene 585, 100–103. doi:10.1016/j.gene.2016.03.029</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Moskot, M., Montefusco, S., Jakóbkiewicz-Banecka, J., Mozolewski, P., Węgrzyn, A., Di Bernardo, D., Węgrzyn, G., Medina, D.L., Ballabio, A., Gabig-Cimińska, M., 2014. The phytoestrogen genistein modulates lysosomal metabolism and transcription factor EB (TFEB) activation. J. Biol. Chem. 289, 17054–69. doi:10.1074/jbc.M114.555300</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Mosmann, T., 1983. Rapid colorimetric assay for cellular growth and survival: application to proliferation and cytotoxicity assays. J. Immunol. Methods 65, 55–63.</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Mozolewski, P., Moskot, M., Jakóbkiewicz-Banecka, J., Węgrzyn, G., Bocheńska, K., Banecki, B., Gabig-Cimińska, M., 2017. Nonsteroidal anti-inflammatory drugs modulate cellular glycosaminoglycan synthesis by affecting EGFR and PI3K signaling pathways. Sci. Rep. 7, 43154. doi:10.1038/srep43154</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Nguyen, K.D., Lee, D. a, 1992. Effect of steroids and nonsteroidal antiinflammatory agents on human ocular fibroblast. Invest. Ophthalmol. Vis. Sci. 33, 2693–2701.</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Özalp, S.S., Eren, C.Y., Bostancioglu, R.B., Koparal, A.T., 2012. Induction of apoptosis and inhibition of cell proliferation by the cyclooxgenase enzyme blocker nimesulide in the Ishikawa endometrial cancer cell line. Eur. J. Obstet. Gynecol. Reprod. Biol. 164, 79–84. doi:10.1016/j.ejogrb.2012.05.018</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Ricchi, P., Di Matola, T., Ruggiero, G., Zanzi, D., Apicella,  a, di Palma,  a, Pensabene, M., Pignata, S., Zarrilli, R., Acquaviva,  a M., 2002. Effect of non-steroidal anti-inflammatory drugs on colon carcinoma Caco-2 cell responsiveness to topoisomerase inhibitor drugs. Br. J. Cancer 86, 1501–1509. doi:10.1038/sj.bjc.6600289</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Smith, D., Wallom, K.-L., Williams, I.M., Jeyakumar, M., Platt, F.M., 2009. Beneficial effects of anti-inflammatory therapy in a mouse model of Niemann-Pick disease type C1. Neurobiol. Dis. 36, 242–251. doi:10.1016/j.nbd.2009.07.010</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Sostres, C., Gargallo, C.J., Lanas, A., 2013. Nonsteroidal anti-inflammatory drugs and upper and lower gastrointestinal mucosal damage. Arthritis Res. Ther. 15, 1–8. doi:10.1186/ar4175</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Stolfi, C., De Simone, V., Pallone, F., Monteleone, G., 2013. Mechanisms of action of non-steroidal anti-inflammatory drugs (NSAIDs) and mesalazine in the chemoprevention of colorectal cancer. Int. J. Mol. Sci. 14, 17972–17985. doi:10.3390/ijms140917972</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Su, B., O’Connor, J.P., 2013. NSAID therapy effects on healing of bone, tendon, and the enthesis. J. Appl. Physiol. 115, 892–9. doi:10.1152/japplphysiol.00053.2013</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Tian, J.J., Lu, S.M., Yu, L., Ma, J.K., Mu, Y.K., Wang, H.B., Xu, W., 2012. Nimesulide inhibited the growth of hypopharyngeal carcinoma cells via suppressing Survivin expression. Head Neck Oncol. 4, 2–9. doi:10.1186/1758-3284-4-7</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Trask, D., Bock, J., Goswami, P., Menon, S., 2004. Celecoxib and sulindac sulfide enhance the cytotoxic effect of standard chemotherapeutic agents and possess anti-tumor activity mediated by p21(cipl/waf1) expression. J. Clin. Oncol. 22, 3186.</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Valle, B.L., D’Souza, T., Becker, K.G., Wood, W.H., Zhang, Y., Wersto, R.P., Morin, P.J., 2013. Non-Steroidal Anti-inflammatory Drugs Decrease E2F1 Expression and Inhibit Cell Growth in Ovarian Cancer Cells. PLoS One 8. doi:10.1371/journal.pone.0061836</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Williams, I.M., Wallom, K.-L., Smith, D.A., Al Eisa, N., Smith, C., Platt, F.M., 2014. Improved neuroprotection using miglustat, curcumin and ibuprofen as a triple combination therapy in Niemann–Pick disease type C1 mice. Neurobiol. Dis. 67, 9–17. doi:10.1016/j.nbd.2014.03.001</w:t>
      </w:r>
    </w:p>
    <w:p w:rsidR="00C61DF4" w:rsidRPr="00855350" w:rsidRDefault="00C61DF4" w:rsidP="006837A3">
      <w:pPr>
        <w:widowControl w:val="0"/>
        <w:autoSpaceDE w:val="0"/>
        <w:autoSpaceDN w:val="0"/>
        <w:adjustRightInd w:val="0"/>
        <w:spacing w:line="480" w:lineRule="auto"/>
        <w:ind w:left="480" w:hanging="480"/>
        <w:rPr>
          <w:noProof/>
          <w:lang w:val="en-US"/>
        </w:rPr>
      </w:pPr>
      <w:r w:rsidRPr="00855350">
        <w:rPr>
          <w:noProof/>
          <w:lang w:val="en-US"/>
        </w:rPr>
        <w:t>Yang, H., Yin, P., Shi, Z., Ma, Y., Zhao, C., Zheng, J., Chen, T., 2016. Sinomenine, a COX-2 inhibitor, induces cell cycle arrest and inhibits growth of human colon carcinoma cells in vitro and in vivo. Oncol. Lett. 11, 411–418. doi:10.3892/ol.2015.3838</w:t>
      </w:r>
    </w:p>
    <w:p w:rsidR="00FD1E7C" w:rsidRDefault="006C4E42" w:rsidP="006837A3">
      <w:pPr>
        <w:pStyle w:val="NormalWeb"/>
        <w:spacing w:line="480" w:lineRule="auto"/>
        <w:ind w:left="480" w:hanging="480"/>
        <w:rPr>
          <w:lang w:val="en-US"/>
        </w:rPr>
      </w:pPr>
      <w:r>
        <w:rPr>
          <w:lang w:val="en-US"/>
        </w:rPr>
        <w:fldChar w:fldCharType="end"/>
      </w:r>
    </w:p>
    <w:p w:rsidR="00FD1E7C" w:rsidRDefault="00FD1E7C" w:rsidP="006A1857">
      <w:pPr>
        <w:spacing w:line="480" w:lineRule="auto"/>
        <w:rPr>
          <w:lang w:val="en-US"/>
        </w:rPr>
      </w:pPr>
    </w:p>
    <w:p w:rsidR="00FD1E7C" w:rsidRPr="000F35AB" w:rsidRDefault="00FD1E7C" w:rsidP="006A1857">
      <w:pPr>
        <w:spacing w:line="480" w:lineRule="auto"/>
        <w:rPr>
          <w:b/>
          <w:lang w:val="en-US"/>
        </w:rPr>
      </w:pPr>
      <w:r w:rsidRPr="000F35AB">
        <w:rPr>
          <w:b/>
          <w:lang w:val="en-US"/>
        </w:rPr>
        <w:t>FIGURE LEGENDS</w:t>
      </w:r>
    </w:p>
    <w:p w:rsidR="00FD1E7C" w:rsidRPr="000F35AB" w:rsidRDefault="008960A4" w:rsidP="00ED30D1">
      <w:pPr>
        <w:spacing w:line="480" w:lineRule="auto"/>
        <w:rPr>
          <w:lang w:val="en-US"/>
        </w:rPr>
      </w:pPr>
      <w:r w:rsidRPr="000F35AB">
        <w:rPr>
          <w:lang w:val="en-US"/>
        </w:rPr>
        <w:t>Fig.</w:t>
      </w:r>
      <w:r w:rsidR="00FD1E7C" w:rsidRPr="000F35AB">
        <w:rPr>
          <w:lang w:val="en-US"/>
        </w:rPr>
        <w:t xml:space="preserve"> 1. Cell percentages in G0/G1, S and G2/M phases in HDFa (a), MPS I (b) and MPS II (c) fibroblasts after 24 h treatment with 0.05% DMSO (Control), 10 µM indomethacin (IN) or 25 µM nimesulide (NIM). Experiments were in triplicate and the mean was obtained from 10,000 cells for each condition.</w:t>
      </w:r>
    </w:p>
    <w:p w:rsidR="00FD1E7C" w:rsidRDefault="00FD1E7C" w:rsidP="00ED30D1">
      <w:pPr>
        <w:spacing w:line="480" w:lineRule="auto"/>
        <w:rPr>
          <w:lang w:val="en-US"/>
        </w:rPr>
      </w:pPr>
      <w:r w:rsidRPr="000F35AB">
        <w:rPr>
          <w:lang w:val="en-US"/>
        </w:rPr>
        <w:br w:type="page"/>
      </w:r>
      <w:r w:rsidR="00322427">
        <w:rPr>
          <w:lang w:val="en-US"/>
        </w:rPr>
        <w:t>Tab.</w:t>
      </w:r>
      <w:r w:rsidR="00B719C0">
        <w:rPr>
          <w:lang w:val="en-US"/>
        </w:rPr>
        <w:t xml:space="preserve"> a</w:t>
      </w:r>
      <w:r w:rsidRPr="000F35AB">
        <w:rPr>
          <w:lang w:val="en-US"/>
        </w:rPr>
        <w:t xml:space="preserve"> Concentration </w:t>
      </w:r>
      <w:r>
        <w:rPr>
          <w:lang w:val="en-US"/>
        </w:rPr>
        <w:t>of tested compounds</w:t>
      </w:r>
      <w:r w:rsidRPr="00CD3AE7">
        <w:rPr>
          <w:lang w:val="en-US"/>
        </w:rPr>
        <w:t xml:space="preserve"> that is lethal</w:t>
      </w:r>
      <w:r>
        <w:rPr>
          <w:lang w:val="en-US"/>
        </w:rPr>
        <w:t xml:space="preserve"> (LC)</w:t>
      </w:r>
      <w:r w:rsidRPr="00CD3AE7">
        <w:rPr>
          <w:lang w:val="en-US"/>
        </w:rPr>
        <w:t xml:space="preserve"> to 25, 50 or 75% of </w:t>
      </w:r>
      <w:r>
        <w:rPr>
          <w:lang w:val="en-US"/>
        </w:rPr>
        <w:t xml:space="preserve">HDFa </w:t>
      </w:r>
      <w:r w:rsidRPr="00CD3AE7">
        <w:rPr>
          <w:lang w:val="en-US"/>
        </w:rPr>
        <w:t>cells in a culture exposed to selected drugs for 7 days.</w:t>
      </w:r>
    </w:p>
    <w:p w:rsidR="00ED30D1" w:rsidRDefault="00ED30D1" w:rsidP="00ED30D1">
      <w:pPr>
        <w:spacing w:line="480" w:lineRule="auto"/>
        <w:rPr>
          <w:lang w:val="en-US"/>
        </w:rPr>
      </w:pPr>
    </w:p>
    <w:tbl>
      <w:tblPr>
        <w:tblW w:w="9239" w:type="dxa"/>
        <w:tblLook w:val="00A0" w:firstRow="1" w:lastRow="0" w:firstColumn="1" w:lastColumn="0" w:noHBand="0" w:noVBand="0"/>
      </w:tblPr>
      <w:tblGrid>
        <w:gridCol w:w="3215"/>
        <w:gridCol w:w="2190"/>
        <w:gridCol w:w="2265"/>
        <w:gridCol w:w="1569"/>
      </w:tblGrid>
      <w:tr w:rsidR="00FD1E7C" w:rsidRPr="00D8316B" w:rsidTr="00D96D61">
        <w:trPr>
          <w:trHeight w:val="265"/>
        </w:trPr>
        <w:tc>
          <w:tcPr>
            <w:tcW w:w="3215" w:type="dxa"/>
            <w:tcBorders>
              <w:top w:val="double" w:sz="4" w:space="0" w:color="auto"/>
              <w:bottom w:val="double" w:sz="4" w:space="0" w:color="auto"/>
            </w:tcBorders>
          </w:tcPr>
          <w:p w:rsidR="00FD1E7C" w:rsidRPr="00D96D61" w:rsidRDefault="00FD1E7C" w:rsidP="00ED30D1">
            <w:pPr>
              <w:spacing w:line="480" w:lineRule="auto"/>
              <w:rPr>
                <w:rFonts w:ascii="Calibri" w:hAnsi="Calibri"/>
                <w:b/>
                <w:lang w:val="en-US" w:eastAsia="en-US"/>
              </w:rPr>
            </w:pPr>
            <w:r w:rsidRPr="00D96D61">
              <w:rPr>
                <w:rFonts w:ascii="Calibri" w:hAnsi="Calibri"/>
                <w:b/>
                <w:lang w:val="en-US" w:eastAsia="en-US"/>
              </w:rPr>
              <w:t>7-days of exposure</w:t>
            </w:r>
          </w:p>
        </w:tc>
        <w:tc>
          <w:tcPr>
            <w:tcW w:w="2190" w:type="dxa"/>
            <w:tcBorders>
              <w:top w:val="double" w:sz="4" w:space="0" w:color="auto"/>
              <w:bottom w:val="double" w:sz="4" w:space="0" w:color="auto"/>
            </w:tcBorders>
          </w:tcPr>
          <w:p w:rsidR="00FD1E7C" w:rsidRPr="00D96D61" w:rsidRDefault="00FD1E7C" w:rsidP="00ED30D1">
            <w:pPr>
              <w:spacing w:line="480" w:lineRule="auto"/>
              <w:rPr>
                <w:rFonts w:ascii="Calibri" w:hAnsi="Calibri"/>
                <w:b/>
                <w:lang w:val="en-US" w:eastAsia="en-US"/>
              </w:rPr>
            </w:pPr>
            <w:r w:rsidRPr="00D96D61">
              <w:rPr>
                <w:rFonts w:ascii="Calibri" w:hAnsi="Calibri"/>
                <w:b/>
                <w:lang w:val="en-US" w:eastAsia="en-US"/>
              </w:rPr>
              <w:t>LC</w:t>
            </w:r>
            <w:r w:rsidRPr="00D96D61">
              <w:rPr>
                <w:rFonts w:ascii="Calibri" w:hAnsi="Calibri"/>
                <w:b/>
                <w:vertAlign w:val="subscript"/>
                <w:lang w:val="en-US" w:eastAsia="en-US"/>
              </w:rPr>
              <w:t>25</w:t>
            </w:r>
            <w:r w:rsidRPr="00D96D61">
              <w:rPr>
                <w:rFonts w:ascii="Calibri" w:hAnsi="Calibri"/>
                <w:b/>
                <w:lang w:val="en-US" w:eastAsia="en-US"/>
              </w:rPr>
              <w:t xml:space="preserve"> (</w:t>
            </w:r>
            <w:r w:rsidRPr="00D96D61">
              <w:rPr>
                <w:rFonts w:ascii="Calibri" w:hAnsi="Calibri" w:cs="Arial"/>
                <w:b/>
                <w:lang w:val="en-US" w:eastAsia="en-US"/>
              </w:rPr>
              <w:t>µ</w:t>
            </w:r>
            <w:r w:rsidRPr="00D96D61">
              <w:rPr>
                <w:rFonts w:ascii="Calibri" w:hAnsi="Calibri"/>
                <w:b/>
                <w:lang w:val="en-US" w:eastAsia="en-US"/>
              </w:rPr>
              <w:t>M)</w:t>
            </w:r>
          </w:p>
        </w:tc>
        <w:tc>
          <w:tcPr>
            <w:tcW w:w="2265" w:type="dxa"/>
            <w:tcBorders>
              <w:top w:val="double" w:sz="4" w:space="0" w:color="auto"/>
              <w:bottom w:val="double" w:sz="4" w:space="0" w:color="auto"/>
            </w:tcBorders>
          </w:tcPr>
          <w:p w:rsidR="00FD1E7C" w:rsidRPr="00D96D61" w:rsidRDefault="00FD1E7C" w:rsidP="00ED30D1">
            <w:pPr>
              <w:spacing w:line="480" w:lineRule="auto"/>
              <w:rPr>
                <w:rFonts w:ascii="Calibri" w:hAnsi="Calibri"/>
                <w:b/>
                <w:lang w:val="en-US" w:eastAsia="en-US"/>
              </w:rPr>
            </w:pPr>
            <w:r w:rsidRPr="00D96D61">
              <w:rPr>
                <w:rFonts w:ascii="Calibri" w:hAnsi="Calibri"/>
                <w:b/>
                <w:lang w:val="en-US" w:eastAsia="en-US"/>
              </w:rPr>
              <w:t>LC</w:t>
            </w:r>
            <w:r w:rsidRPr="00D96D61">
              <w:rPr>
                <w:rFonts w:ascii="Calibri" w:hAnsi="Calibri"/>
                <w:b/>
                <w:vertAlign w:val="subscript"/>
                <w:lang w:val="en-US" w:eastAsia="en-US"/>
              </w:rPr>
              <w:t>50</w:t>
            </w:r>
            <w:r w:rsidRPr="00D96D61">
              <w:rPr>
                <w:rFonts w:ascii="Calibri" w:hAnsi="Calibri"/>
                <w:b/>
                <w:lang w:val="en-US" w:eastAsia="en-US"/>
              </w:rPr>
              <w:t xml:space="preserve"> (</w:t>
            </w:r>
            <w:r w:rsidRPr="00D96D61">
              <w:rPr>
                <w:rFonts w:ascii="Calibri" w:hAnsi="Calibri" w:cs="Arial"/>
                <w:b/>
                <w:lang w:val="en-US" w:eastAsia="en-US"/>
              </w:rPr>
              <w:t>µ</w:t>
            </w:r>
            <w:r w:rsidRPr="00D96D61">
              <w:rPr>
                <w:rFonts w:ascii="Calibri" w:hAnsi="Calibri"/>
                <w:b/>
                <w:lang w:val="en-US" w:eastAsia="en-US"/>
              </w:rPr>
              <w:t>M)</w:t>
            </w:r>
          </w:p>
        </w:tc>
        <w:tc>
          <w:tcPr>
            <w:tcW w:w="1569" w:type="dxa"/>
            <w:tcBorders>
              <w:top w:val="double" w:sz="4" w:space="0" w:color="auto"/>
              <w:bottom w:val="double" w:sz="4" w:space="0" w:color="auto"/>
            </w:tcBorders>
          </w:tcPr>
          <w:p w:rsidR="00FD1E7C" w:rsidRPr="00D96D61" w:rsidRDefault="00FD1E7C" w:rsidP="00ED30D1">
            <w:pPr>
              <w:spacing w:line="480" w:lineRule="auto"/>
              <w:rPr>
                <w:rFonts w:ascii="Calibri" w:hAnsi="Calibri"/>
                <w:b/>
                <w:lang w:val="en-US" w:eastAsia="en-US"/>
              </w:rPr>
            </w:pPr>
            <w:r w:rsidRPr="00D96D61">
              <w:rPr>
                <w:rFonts w:ascii="Calibri" w:hAnsi="Calibri"/>
                <w:b/>
                <w:lang w:val="en-US" w:eastAsia="en-US"/>
              </w:rPr>
              <w:t>LC</w:t>
            </w:r>
            <w:r w:rsidRPr="00D96D61">
              <w:rPr>
                <w:rFonts w:ascii="Calibri" w:hAnsi="Calibri"/>
                <w:b/>
                <w:vertAlign w:val="subscript"/>
                <w:lang w:val="en-US" w:eastAsia="en-US"/>
              </w:rPr>
              <w:t>75</w:t>
            </w:r>
            <w:r w:rsidRPr="00D96D61">
              <w:rPr>
                <w:rFonts w:ascii="Calibri" w:hAnsi="Calibri"/>
                <w:b/>
                <w:lang w:val="en-US" w:eastAsia="en-US"/>
              </w:rPr>
              <w:t xml:space="preserve"> (</w:t>
            </w:r>
            <w:r w:rsidRPr="00D96D61">
              <w:rPr>
                <w:rFonts w:ascii="Calibri" w:hAnsi="Calibri" w:cs="Arial"/>
                <w:b/>
                <w:lang w:val="en-US" w:eastAsia="en-US"/>
              </w:rPr>
              <w:t>µ</w:t>
            </w:r>
            <w:r w:rsidRPr="00D96D61">
              <w:rPr>
                <w:rFonts w:ascii="Calibri" w:hAnsi="Calibri"/>
                <w:b/>
                <w:lang w:val="en-US" w:eastAsia="en-US"/>
              </w:rPr>
              <w:t>M)</w:t>
            </w:r>
          </w:p>
        </w:tc>
      </w:tr>
      <w:tr w:rsidR="00FD1E7C" w:rsidRPr="00D8316B" w:rsidTr="00D96D61">
        <w:trPr>
          <w:trHeight w:val="326"/>
        </w:trPr>
        <w:tc>
          <w:tcPr>
            <w:tcW w:w="3215" w:type="dxa"/>
            <w:tcBorders>
              <w:top w:val="double" w:sz="4" w:space="0" w:color="auto"/>
            </w:tcBorders>
          </w:tcPr>
          <w:p w:rsidR="00FD1E7C" w:rsidRPr="00D96D61" w:rsidRDefault="00FD1E7C" w:rsidP="00ED30D1">
            <w:pPr>
              <w:spacing w:line="480" w:lineRule="auto"/>
              <w:rPr>
                <w:rFonts w:ascii="Calibri" w:hAnsi="Calibri"/>
                <w:lang w:val="en-US" w:eastAsia="en-US"/>
              </w:rPr>
            </w:pPr>
          </w:p>
          <w:p w:rsidR="00FD1E7C" w:rsidRPr="00D96D61" w:rsidRDefault="00FD1E7C" w:rsidP="00ED30D1">
            <w:pPr>
              <w:spacing w:line="480" w:lineRule="auto"/>
              <w:rPr>
                <w:rFonts w:ascii="Calibri" w:hAnsi="Calibri"/>
                <w:lang w:val="en-US" w:eastAsia="en-US"/>
              </w:rPr>
            </w:pPr>
            <w:r w:rsidRPr="00D96D61">
              <w:rPr>
                <w:rFonts w:ascii="Calibri" w:hAnsi="Calibri"/>
                <w:lang w:val="en-US" w:eastAsia="en-US"/>
              </w:rPr>
              <w:t>Indomethacin</w:t>
            </w:r>
          </w:p>
        </w:tc>
        <w:tc>
          <w:tcPr>
            <w:tcW w:w="2190" w:type="dxa"/>
            <w:tcBorders>
              <w:top w:val="double" w:sz="4" w:space="0" w:color="auto"/>
            </w:tcBorders>
          </w:tcPr>
          <w:p w:rsidR="00FD1E7C" w:rsidRPr="00D96D61" w:rsidRDefault="00FD1E7C" w:rsidP="00ED30D1">
            <w:pPr>
              <w:spacing w:line="480" w:lineRule="auto"/>
              <w:rPr>
                <w:rFonts w:ascii="Calibri" w:hAnsi="Calibri"/>
                <w:lang w:val="en-US" w:eastAsia="en-US"/>
              </w:rPr>
            </w:pPr>
          </w:p>
          <w:p w:rsidR="00FD1E7C" w:rsidRPr="00D96D61" w:rsidRDefault="00FD1E7C" w:rsidP="00ED30D1">
            <w:pPr>
              <w:spacing w:line="480" w:lineRule="auto"/>
              <w:rPr>
                <w:rFonts w:ascii="Calibri" w:hAnsi="Calibri"/>
                <w:lang w:val="en-US" w:eastAsia="en-US"/>
              </w:rPr>
            </w:pPr>
            <w:r w:rsidRPr="00D96D61">
              <w:rPr>
                <w:rFonts w:ascii="Calibri" w:hAnsi="Calibri"/>
                <w:lang w:val="en-US" w:eastAsia="en-US"/>
              </w:rPr>
              <w:t>80</w:t>
            </w:r>
          </w:p>
        </w:tc>
        <w:tc>
          <w:tcPr>
            <w:tcW w:w="2265" w:type="dxa"/>
            <w:tcBorders>
              <w:top w:val="double" w:sz="4" w:space="0" w:color="auto"/>
            </w:tcBorders>
          </w:tcPr>
          <w:p w:rsidR="00FD1E7C" w:rsidRPr="00D96D61" w:rsidRDefault="00FD1E7C" w:rsidP="00ED30D1">
            <w:pPr>
              <w:spacing w:line="480" w:lineRule="auto"/>
              <w:rPr>
                <w:rFonts w:ascii="Calibri" w:hAnsi="Calibri"/>
                <w:lang w:val="en-US" w:eastAsia="en-US"/>
              </w:rPr>
            </w:pPr>
          </w:p>
          <w:p w:rsidR="00FD1E7C" w:rsidRPr="00D96D61" w:rsidRDefault="00FD1E7C" w:rsidP="00ED30D1">
            <w:pPr>
              <w:spacing w:line="480" w:lineRule="auto"/>
              <w:rPr>
                <w:rFonts w:ascii="Calibri" w:hAnsi="Calibri"/>
                <w:lang w:val="en-US" w:eastAsia="en-US"/>
              </w:rPr>
            </w:pPr>
            <w:r w:rsidRPr="00D96D61">
              <w:rPr>
                <w:rFonts w:ascii="Calibri" w:hAnsi="Calibri"/>
                <w:lang w:val="en-US" w:eastAsia="en-US"/>
              </w:rPr>
              <w:t>250</w:t>
            </w:r>
          </w:p>
        </w:tc>
        <w:tc>
          <w:tcPr>
            <w:tcW w:w="1569" w:type="dxa"/>
            <w:tcBorders>
              <w:top w:val="double" w:sz="4" w:space="0" w:color="auto"/>
            </w:tcBorders>
          </w:tcPr>
          <w:p w:rsidR="00FD1E7C" w:rsidRPr="00D96D61" w:rsidRDefault="00FD1E7C" w:rsidP="00ED30D1">
            <w:pPr>
              <w:spacing w:line="480" w:lineRule="auto"/>
              <w:rPr>
                <w:rFonts w:ascii="Calibri" w:hAnsi="Calibri"/>
                <w:lang w:val="en-US" w:eastAsia="en-US"/>
              </w:rPr>
            </w:pPr>
          </w:p>
          <w:p w:rsidR="00FD1E7C" w:rsidRPr="00D96D61" w:rsidRDefault="00FD1E7C" w:rsidP="00ED30D1">
            <w:pPr>
              <w:spacing w:line="480" w:lineRule="auto"/>
              <w:rPr>
                <w:rFonts w:ascii="Calibri" w:hAnsi="Calibri"/>
                <w:lang w:val="en-US" w:eastAsia="en-US"/>
              </w:rPr>
            </w:pPr>
            <w:r w:rsidRPr="00D96D61">
              <w:rPr>
                <w:rFonts w:ascii="Calibri" w:hAnsi="Calibri"/>
                <w:lang w:val="en-US" w:eastAsia="en-US"/>
              </w:rPr>
              <w:t>430</w:t>
            </w:r>
          </w:p>
        </w:tc>
      </w:tr>
      <w:tr w:rsidR="00FD1E7C" w:rsidRPr="00D8316B" w:rsidTr="00D96D61">
        <w:trPr>
          <w:trHeight w:val="780"/>
        </w:trPr>
        <w:tc>
          <w:tcPr>
            <w:tcW w:w="3215" w:type="dxa"/>
            <w:tcBorders>
              <w:bottom w:val="double" w:sz="4" w:space="0" w:color="auto"/>
            </w:tcBorders>
          </w:tcPr>
          <w:p w:rsidR="00FD1E7C" w:rsidRPr="00D96D61" w:rsidRDefault="00FD1E7C" w:rsidP="00ED30D1">
            <w:pPr>
              <w:spacing w:line="480" w:lineRule="auto"/>
              <w:rPr>
                <w:rFonts w:ascii="Calibri" w:hAnsi="Calibri"/>
                <w:lang w:val="en-US" w:eastAsia="en-US"/>
              </w:rPr>
            </w:pPr>
          </w:p>
          <w:p w:rsidR="00FD1E7C" w:rsidRPr="00D96D61" w:rsidRDefault="00FD1E7C" w:rsidP="00ED30D1">
            <w:pPr>
              <w:spacing w:line="480" w:lineRule="auto"/>
              <w:rPr>
                <w:rFonts w:ascii="Calibri" w:hAnsi="Calibri"/>
                <w:lang w:val="en-US" w:eastAsia="en-US"/>
              </w:rPr>
            </w:pPr>
            <w:r w:rsidRPr="00D96D61">
              <w:rPr>
                <w:rFonts w:ascii="Calibri" w:hAnsi="Calibri"/>
                <w:lang w:val="en-US" w:eastAsia="en-US"/>
              </w:rPr>
              <w:t>Nimesulide</w:t>
            </w:r>
          </w:p>
        </w:tc>
        <w:tc>
          <w:tcPr>
            <w:tcW w:w="2190" w:type="dxa"/>
            <w:tcBorders>
              <w:bottom w:val="double" w:sz="4" w:space="0" w:color="auto"/>
            </w:tcBorders>
          </w:tcPr>
          <w:p w:rsidR="00FD1E7C" w:rsidRPr="00D96D61" w:rsidRDefault="00FD1E7C" w:rsidP="00ED30D1">
            <w:pPr>
              <w:spacing w:line="480" w:lineRule="auto"/>
              <w:rPr>
                <w:rFonts w:ascii="Calibri" w:hAnsi="Calibri"/>
                <w:lang w:val="en-US" w:eastAsia="en-US"/>
              </w:rPr>
            </w:pPr>
          </w:p>
          <w:p w:rsidR="00FD1E7C" w:rsidRPr="00D96D61" w:rsidRDefault="00FD1E7C" w:rsidP="00ED30D1">
            <w:pPr>
              <w:spacing w:line="480" w:lineRule="auto"/>
              <w:rPr>
                <w:rFonts w:ascii="Calibri" w:hAnsi="Calibri"/>
                <w:lang w:val="en-US" w:eastAsia="en-US"/>
              </w:rPr>
            </w:pPr>
            <w:r w:rsidRPr="00D96D61">
              <w:rPr>
                <w:rFonts w:ascii="Calibri" w:hAnsi="Calibri"/>
                <w:lang w:val="en-US" w:eastAsia="en-US"/>
              </w:rPr>
              <w:t>260</w:t>
            </w:r>
          </w:p>
        </w:tc>
        <w:tc>
          <w:tcPr>
            <w:tcW w:w="2265" w:type="dxa"/>
            <w:tcBorders>
              <w:bottom w:val="double" w:sz="4" w:space="0" w:color="auto"/>
            </w:tcBorders>
          </w:tcPr>
          <w:p w:rsidR="00FD1E7C" w:rsidRPr="00D96D61" w:rsidRDefault="00FD1E7C" w:rsidP="00ED30D1">
            <w:pPr>
              <w:spacing w:line="480" w:lineRule="auto"/>
              <w:rPr>
                <w:rFonts w:ascii="Calibri" w:hAnsi="Calibri"/>
                <w:lang w:val="en-US" w:eastAsia="en-US"/>
              </w:rPr>
            </w:pPr>
          </w:p>
          <w:p w:rsidR="00FD1E7C" w:rsidRPr="00D96D61" w:rsidRDefault="00FD1E7C" w:rsidP="00ED30D1">
            <w:pPr>
              <w:spacing w:line="480" w:lineRule="auto"/>
              <w:rPr>
                <w:rFonts w:ascii="Calibri" w:hAnsi="Calibri"/>
                <w:lang w:val="en-US" w:eastAsia="en-US"/>
              </w:rPr>
            </w:pPr>
            <w:r w:rsidRPr="00D96D61">
              <w:rPr>
                <w:rFonts w:ascii="Calibri" w:hAnsi="Calibri"/>
                <w:lang w:val="en-US" w:eastAsia="en-US"/>
              </w:rPr>
              <w:t>550</w:t>
            </w:r>
          </w:p>
        </w:tc>
        <w:tc>
          <w:tcPr>
            <w:tcW w:w="1569" w:type="dxa"/>
            <w:tcBorders>
              <w:bottom w:val="double" w:sz="4" w:space="0" w:color="auto"/>
            </w:tcBorders>
          </w:tcPr>
          <w:p w:rsidR="00FD1E7C" w:rsidRPr="00D96D61" w:rsidRDefault="00FD1E7C" w:rsidP="00ED30D1">
            <w:pPr>
              <w:spacing w:line="480" w:lineRule="auto"/>
              <w:rPr>
                <w:rFonts w:ascii="Calibri" w:hAnsi="Calibri"/>
                <w:lang w:val="en-US" w:eastAsia="en-US"/>
              </w:rPr>
            </w:pPr>
          </w:p>
          <w:p w:rsidR="00FD1E7C" w:rsidRPr="00D96D61" w:rsidRDefault="00FD1E7C" w:rsidP="00ED30D1">
            <w:pPr>
              <w:spacing w:line="480" w:lineRule="auto"/>
              <w:rPr>
                <w:rFonts w:ascii="Calibri" w:hAnsi="Calibri"/>
                <w:lang w:val="en-US" w:eastAsia="en-US"/>
              </w:rPr>
            </w:pPr>
            <w:r w:rsidRPr="00D96D61">
              <w:rPr>
                <w:rFonts w:ascii="Calibri" w:hAnsi="Calibri"/>
                <w:lang w:val="en-US" w:eastAsia="en-US"/>
              </w:rPr>
              <w:t>850</w:t>
            </w:r>
          </w:p>
          <w:p w:rsidR="00FD1E7C" w:rsidRPr="00D96D61" w:rsidRDefault="00FD1E7C" w:rsidP="00ED30D1">
            <w:pPr>
              <w:spacing w:line="480" w:lineRule="auto"/>
              <w:rPr>
                <w:rFonts w:ascii="Calibri" w:hAnsi="Calibri"/>
                <w:lang w:val="en-US" w:eastAsia="en-US"/>
              </w:rPr>
            </w:pPr>
          </w:p>
        </w:tc>
      </w:tr>
    </w:tbl>
    <w:p w:rsidR="00FD1E7C" w:rsidRDefault="00FD1E7C" w:rsidP="00ED30D1">
      <w:pPr>
        <w:spacing w:line="480" w:lineRule="auto"/>
        <w:rPr>
          <w:lang w:val="en-US"/>
        </w:rPr>
      </w:pPr>
      <w:r>
        <w:rPr>
          <w:lang w:val="en-US"/>
        </w:rPr>
        <w:br w:type="page"/>
      </w:r>
    </w:p>
    <w:p w:rsidR="00FD1E7C" w:rsidRDefault="00322427" w:rsidP="00544F97">
      <w:pPr>
        <w:spacing w:line="480" w:lineRule="auto"/>
        <w:rPr>
          <w:lang w:val="en-US"/>
        </w:rPr>
      </w:pPr>
      <w:r>
        <w:rPr>
          <w:lang w:val="en-US"/>
        </w:rPr>
        <w:t>Tab.</w:t>
      </w:r>
      <w:r w:rsidR="00B719C0">
        <w:rPr>
          <w:lang w:val="en-US"/>
        </w:rPr>
        <w:t xml:space="preserve"> b</w:t>
      </w:r>
      <w:r w:rsidR="00FD1E7C" w:rsidRPr="00544F97">
        <w:rPr>
          <w:lang w:val="en-US"/>
        </w:rPr>
        <w:t xml:space="preserve"> </w:t>
      </w:r>
      <w:r w:rsidR="00FD1E7C" w:rsidRPr="00CD3AE7">
        <w:rPr>
          <w:lang w:val="en-US"/>
        </w:rPr>
        <w:t xml:space="preserve">Number of genes whose expression was altered as a function of the treatment type identified in the microarray analysis among whole genome sequences and transcripts of HDFa cells (significantly </w:t>
      </w:r>
      <w:r w:rsidR="00FD1E7C" w:rsidRPr="000F35AB">
        <w:rPr>
          <w:lang w:val="en-US"/>
        </w:rPr>
        <w:t xml:space="preserve">differentially expressed genes had a fold change </w:t>
      </w:r>
      <w:r w:rsidR="007332D2" w:rsidRPr="000F35AB">
        <w:rPr>
          <w:lang w:val="en-US"/>
        </w:rPr>
        <w:t>as described in the table</w:t>
      </w:r>
      <w:r w:rsidR="00FD1E7C" w:rsidRPr="000F35AB">
        <w:rPr>
          <w:lang w:val="en-US"/>
        </w:rPr>
        <w:t>,</w:t>
      </w:r>
      <w:r w:rsidR="006715EC" w:rsidRPr="000F35AB">
        <w:rPr>
          <w:lang w:val="en-US"/>
        </w:rPr>
        <w:t xml:space="preserve"> respectively,</w:t>
      </w:r>
      <w:r w:rsidR="00FD1E7C" w:rsidRPr="000F35AB">
        <w:rPr>
          <w:lang w:val="en-US"/>
        </w:rPr>
        <w:t xml:space="preserve"> for whole genome, with a </w:t>
      </w:r>
      <w:r w:rsidR="009728DA" w:rsidRPr="000F35AB">
        <w:rPr>
          <w:lang w:val="en-US"/>
        </w:rPr>
        <w:t>P</w:t>
      </w:r>
      <w:r w:rsidR="00FD1E7C" w:rsidRPr="000F35AB">
        <w:rPr>
          <w:lang w:val="en-US"/>
        </w:rPr>
        <w:t xml:space="preserve"> value </w:t>
      </w:r>
      <w:r w:rsidR="00FD1E7C" w:rsidRPr="00CD3AE7">
        <w:rPr>
          <w:lang w:val="en-US"/>
        </w:rPr>
        <w:t xml:space="preserve">of &lt; 0.05, </w:t>
      </w:r>
      <w:r w:rsidR="00FD1E7C" w:rsidRPr="0065469D">
        <w:rPr>
          <w:i/>
          <w:lang w:val="en-US"/>
        </w:rPr>
        <w:t>n</w:t>
      </w:r>
      <w:r w:rsidR="00FD1E7C" w:rsidRPr="00CD3AE7">
        <w:rPr>
          <w:lang w:val="en-US"/>
        </w:rPr>
        <w:t xml:space="preserve"> ≥ 3 experiments).</w:t>
      </w:r>
    </w:p>
    <w:p w:rsidR="00945870" w:rsidRDefault="00945870">
      <w:pPr>
        <w:rPr>
          <w:lang w:val="en-US"/>
        </w:rPr>
      </w:pPr>
    </w:p>
    <w:tbl>
      <w:tblPr>
        <w:tblStyle w:val="TableGrid"/>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92"/>
        <w:gridCol w:w="992"/>
        <w:gridCol w:w="993"/>
        <w:gridCol w:w="992"/>
        <w:gridCol w:w="992"/>
        <w:gridCol w:w="992"/>
        <w:gridCol w:w="1011"/>
        <w:gridCol w:w="1078"/>
      </w:tblGrid>
      <w:tr w:rsidR="00B611D5" w:rsidTr="00B40B36">
        <w:trPr>
          <w:trHeight w:val="367"/>
        </w:trPr>
        <w:tc>
          <w:tcPr>
            <w:tcW w:w="1980" w:type="dxa"/>
            <w:vMerge w:val="restart"/>
            <w:tcBorders>
              <w:top w:val="double" w:sz="4" w:space="0" w:color="auto"/>
              <w:bottom w:val="single" w:sz="4" w:space="0" w:color="auto"/>
              <w:right w:val="single" w:sz="4" w:space="0" w:color="auto"/>
            </w:tcBorders>
          </w:tcPr>
          <w:p w:rsidR="00B611D5" w:rsidRPr="00B611D5" w:rsidRDefault="00B611D5" w:rsidP="00055DA5">
            <w:pPr>
              <w:spacing w:line="480" w:lineRule="auto"/>
              <w:rPr>
                <w:rFonts w:asciiTheme="minorHAnsi" w:hAnsiTheme="minorHAnsi" w:cstheme="minorHAnsi"/>
                <w:lang w:val="en-US"/>
              </w:rPr>
            </w:pPr>
            <w:r w:rsidRPr="00D96D61">
              <w:rPr>
                <w:rFonts w:ascii="Calibri" w:hAnsi="Calibri"/>
                <w:b/>
                <w:lang w:val="en-US" w:eastAsia="en-US"/>
              </w:rPr>
              <w:t>Fold change range for genes with altered expression</w:t>
            </w:r>
          </w:p>
        </w:tc>
        <w:tc>
          <w:tcPr>
            <w:tcW w:w="8042" w:type="dxa"/>
            <w:gridSpan w:val="8"/>
            <w:tcBorders>
              <w:top w:val="double"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Concentration [µM]</w:t>
            </w:r>
          </w:p>
        </w:tc>
      </w:tr>
      <w:tr w:rsidR="00B611D5" w:rsidTr="00303C7E">
        <w:trPr>
          <w:trHeight w:val="383"/>
        </w:trPr>
        <w:tc>
          <w:tcPr>
            <w:tcW w:w="1980" w:type="dxa"/>
            <w:vMerge/>
            <w:tcBorders>
              <w:bottom w:val="single" w:sz="4" w:space="0" w:color="auto"/>
              <w:right w:val="single" w:sz="4" w:space="0" w:color="auto"/>
            </w:tcBorders>
          </w:tcPr>
          <w:p w:rsidR="00B611D5" w:rsidRPr="00B611D5" w:rsidRDefault="00B611D5" w:rsidP="00055DA5">
            <w:pPr>
              <w:spacing w:line="480" w:lineRule="auto"/>
              <w:rPr>
                <w:rFonts w:asciiTheme="minorHAnsi" w:hAnsiTheme="minorHAnsi" w:cstheme="minorHAnsi"/>
                <w:lang w:val="en-US"/>
              </w:rPr>
            </w:pPr>
          </w:p>
        </w:tc>
        <w:tc>
          <w:tcPr>
            <w:tcW w:w="3969" w:type="dxa"/>
            <w:gridSpan w:val="4"/>
            <w:tcBorders>
              <w:left w:val="single" w:sz="4" w:space="0" w:color="auto"/>
              <w:bottom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Indomethacin</w:t>
            </w:r>
          </w:p>
        </w:tc>
        <w:tc>
          <w:tcPr>
            <w:tcW w:w="4073" w:type="dxa"/>
            <w:gridSpan w:val="4"/>
            <w:tcBorders>
              <w:bottom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Nimesulide</w:t>
            </w:r>
          </w:p>
        </w:tc>
      </w:tr>
      <w:tr w:rsidR="00303C7E" w:rsidTr="00303C7E">
        <w:trPr>
          <w:trHeight w:val="399"/>
        </w:trPr>
        <w:tc>
          <w:tcPr>
            <w:tcW w:w="1980" w:type="dxa"/>
            <w:vMerge/>
            <w:tcBorders>
              <w:top w:val="single" w:sz="4" w:space="0" w:color="auto"/>
              <w:bottom w:val="single" w:sz="4" w:space="0" w:color="auto"/>
              <w:right w:val="single" w:sz="4" w:space="0" w:color="auto"/>
            </w:tcBorders>
          </w:tcPr>
          <w:p w:rsidR="00B611D5" w:rsidRPr="00B611D5" w:rsidRDefault="00B611D5" w:rsidP="00055DA5">
            <w:pPr>
              <w:spacing w:line="480" w:lineRule="auto"/>
              <w:rPr>
                <w:rFonts w:asciiTheme="minorHAnsi" w:hAnsiTheme="minorHAnsi" w:cstheme="minorHAnsi"/>
                <w:lang w:val="en-US"/>
              </w:rPr>
            </w:pPr>
          </w:p>
        </w:tc>
        <w:tc>
          <w:tcPr>
            <w:tcW w:w="1984" w:type="dxa"/>
            <w:gridSpan w:val="2"/>
            <w:tcBorders>
              <w:top w:val="single" w:sz="4" w:space="0" w:color="auto"/>
              <w:left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2</w:t>
            </w:r>
          </w:p>
        </w:tc>
        <w:tc>
          <w:tcPr>
            <w:tcW w:w="1985" w:type="dxa"/>
            <w:gridSpan w:val="2"/>
            <w:tcBorders>
              <w:top w:val="single" w:sz="4" w:space="0" w:color="auto"/>
              <w:left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10</w:t>
            </w:r>
          </w:p>
        </w:tc>
        <w:tc>
          <w:tcPr>
            <w:tcW w:w="1984" w:type="dxa"/>
            <w:gridSpan w:val="2"/>
            <w:tcBorders>
              <w:top w:val="single" w:sz="4" w:space="0" w:color="auto"/>
              <w:left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5</w:t>
            </w:r>
          </w:p>
        </w:tc>
        <w:tc>
          <w:tcPr>
            <w:tcW w:w="2089" w:type="dxa"/>
            <w:gridSpan w:val="2"/>
            <w:tcBorders>
              <w:top w:val="single"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25</w:t>
            </w:r>
          </w:p>
        </w:tc>
      </w:tr>
      <w:tr w:rsidR="00B611D5" w:rsidTr="00303C7E">
        <w:trPr>
          <w:trHeight w:val="383"/>
        </w:trPr>
        <w:tc>
          <w:tcPr>
            <w:tcW w:w="1980" w:type="dxa"/>
            <w:vMerge/>
            <w:tcBorders>
              <w:bottom w:val="single" w:sz="4" w:space="0" w:color="auto"/>
              <w:right w:val="single" w:sz="4" w:space="0" w:color="auto"/>
            </w:tcBorders>
          </w:tcPr>
          <w:p w:rsidR="00B611D5" w:rsidRPr="00B611D5" w:rsidRDefault="00B611D5" w:rsidP="00055DA5">
            <w:pPr>
              <w:spacing w:line="480" w:lineRule="auto"/>
              <w:rPr>
                <w:rFonts w:asciiTheme="minorHAnsi" w:hAnsiTheme="minorHAnsi" w:cstheme="minorHAnsi"/>
                <w:lang w:val="en-US"/>
              </w:rPr>
            </w:pPr>
          </w:p>
        </w:tc>
        <w:tc>
          <w:tcPr>
            <w:tcW w:w="8042" w:type="dxa"/>
            <w:gridSpan w:val="8"/>
            <w:tcBorders>
              <w:lef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Time of exposure</w:t>
            </w:r>
            <w:r>
              <w:rPr>
                <w:rFonts w:asciiTheme="minorHAnsi" w:hAnsiTheme="minorHAnsi" w:cstheme="minorHAnsi"/>
                <w:b/>
                <w:lang w:val="en-US"/>
              </w:rPr>
              <w:t xml:space="preserve"> [h]</w:t>
            </w:r>
          </w:p>
        </w:tc>
      </w:tr>
      <w:tr w:rsidR="00303C7E" w:rsidTr="00303C7E">
        <w:trPr>
          <w:trHeight w:val="338"/>
        </w:trPr>
        <w:tc>
          <w:tcPr>
            <w:tcW w:w="1980" w:type="dxa"/>
            <w:vMerge/>
            <w:tcBorders>
              <w:bottom w:val="single" w:sz="4" w:space="0" w:color="auto"/>
              <w:right w:val="single" w:sz="4" w:space="0" w:color="auto"/>
            </w:tcBorders>
          </w:tcPr>
          <w:p w:rsidR="00B611D5" w:rsidRPr="00B611D5" w:rsidRDefault="00B611D5" w:rsidP="00055DA5">
            <w:pPr>
              <w:spacing w:line="480" w:lineRule="auto"/>
              <w:rPr>
                <w:rFonts w:asciiTheme="minorHAnsi" w:hAnsiTheme="minorHAnsi" w:cstheme="minorHAnsi"/>
                <w:lang w:val="en-US"/>
              </w:rPr>
            </w:pPr>
          </w:p>
        </w:tc>
        <w:tc>
          <w:tcPr>
            <w:tcW w:w="992" w:type="dxa"/>
            <w:tcBorders>
              <w:left w:val="single" w:sz="4" w:space="0" w:color="auto"/>
              <w:bottom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24</w:t>
            </w:r>
          </w:p>
        </w:tc>
        <w:tc>
          <w:tcPr>
            <w:tcW w:w="992" w:type="dxa"/>
            <w:tcBorders>
              <w:bottom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48</w:t>
            </w:r>
          </w:p>
        </w:tc>
        <w:tc>
          <w:tcPr>
            <w:tcW w:w="993" w:type="dxa"/>
            <w:tcBorders>
              <w:left w:val="single" w:sz="4" w:space="0" w:color="auto"/>
              <w:bottom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24</w:t>
            </w:r>
          </w:p>
        </w:tc>
        <w:tc>
          <w:tcPr>
            <w:tcW w:w="992" w:type="dxa"/>
            <w:tcBorders>
              <w:bottom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48</w:t>
            </w:r>
          </w:p>
        </w:tc>
        <w:tc>
          <w:tcPr>
            <w:tcW w:w="992" w:type="dxa"/>
            <w:tcBorders>
              <w:left w:val="single" w:sz="4" w:space="0" w:color="auto"/>
              <w:bottom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24</w:t>
            </w:r>
          </w:p>
        </w:tc>
        <w:tc>
          <w:tcPr>
            <w:tcW w:w="992" w:type="dxa"/>
            <w:tcBorders>
              <w:bottom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48</w:t>
            </w:r>
          </w:p>
        </w:tc>
        <w:tc>
          <w:tcPr>
            <w:tcW w:w="1011" w:type="dxa"/>
            <w:tcBorders>
              <w:left w:val="single" w:sz="4" w:space="0" w:color="auto"/>
              <w:bottom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24</w:t>
            </w:r>
          </w:p>
        </w:tc>
        <w:tc>
          <w:tcPr>
            <w:tcW w:w="1078" w:type="dxa"/>
            <w:tcBorders>
              <w:bottom w:val="single" w:sz="4" w:space="0" w:color="auto"/>
            </w:tcBorders>
          </w:tcPr>
          <w:p w:rsidR="00B611D5" w:rsidRPr="00B611D5" w:rsidRDefault="00B611D5" w:rsidP="00055DA5">
            <w:pPr>
              <w:spacing w:line="480" w:lineRule="auto"/>
              <w:jc w:val="center"/>
              <w:rPr>
                <w:rFonts w:asciiTheme="minorHAnsi" w:hAnsiTheme="minorHAnsi" w:cstheme="minorHAnsi"/>
                <w:b/>
                <w:lang w:val="en-US"/>
              </w:rPr>
            </w:pPr>
            <w:r w:rsidRPr="00B611D5">
              <w:rPr>
                <w:rFonts w:asciiTheme="minorHAnsi" w:hAnsiTheme="minorHAnsi" w:cstheme="minorHAnsi"/>
                <w:b/>
                <w:lang w:val="en-US"/>
              </w:rPr>
              <w:t>48</w:t>
            </w:r>
          </w:p>
        </w:tc>
      </w:tr>
      <w:tr w:rsidR="00B611D5" w:rsidTr="00303C7E">
        <w:trPr>
          <w:trHeight w:val="417"/>
        </w:trPr>
        <w:tc>
          <w:tcPr>
            <w:tcW w:w="1980" w:type="dxa"/>
            <w:vMerge w:val="restart"/>
            <w:tcBorders>
              <w:top w:val="single" w:sz="4" w:space="0" w:color="auto"/>
              <w:bottom w:val="dashSmallGap" w:sz="4" w:space="0" w:color="auto"/>
              <w:right w:val="single" w:sz="4" w:space="0" w:color="auto"/>
            </w:tcBorders>
          </w:tcPr>
          <w:p w:rsidR="00B611D5" w:rsidRDefault="002A5749" w:rsidP="00055DA5">
            <w:pPr>
              <w:spacing w:line="480" w:lineRule="auto"/>
              <w:jc w:val="right"/>
              <w:rPr>
                <w:rFonts w:ascii="Calibri" w:hAnsi="Calibri"/>
                <w:lang w:val="en-US" w:eastAsia="en-US"/>
              </w:rPr>
            </w:pPr>
            <w:r>
              <w:rPr>
                <w:noProof/>
              </w:rPr>
              <mc:AlternateContent>
                <mc:Choice Requires="wps">
                  <w:drawing>
                    <wp:anchor distT="0" distB="0" distL="114300" distR="114300" simplePos="0" relativeHeight="251661312" behindDoc="0" locked="0" layoutInCell="1" allowOverlap="1">
                      <wp:simplePos x="0" y="0"/>
                      <wp:positionH relativeFrom="page">
                        <wp:posOffset>18415</wp:posOffset>
                      </wp:positionH>
                      <wp:positionV relativeFrom="paragraph">
                        <wp:posOffset>85725</wp:posOffset>
                      </wp:positionV>
                      <wp:extent cx="295275" cy="323850"/>
                      <wp:effectExtent l="19050" t="19050" r="28575" b="19050"/>
                      <wp:wrapNone/>
                      <wp:docPr id="3" name="Strzałka w górę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95275" cy="323850"/>
                              </a:xfrm>
                              <a:prstGeom prst="upArrow">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B652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trzałka w górę 3" o:spid="_x0000_s1026" type="#_x0000_t68" style="position:absolute;margin-left:1.45pt;margin-top:6.75pt;width:23.25pt;height:25.5pt;rotation:180;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" adj="9847" filled="f" strokecolor="windowText" strokeweight="1.25pt">
                      <v:path arrowok="t"/>
                      <w10:wrap anchorx="page"/>
                    </v:shape>
                  </w:pict>
                </mc:Fallback>
              </mc:AlternateContent>
            </w:r>
            <w:r w:rsidR="00B611D5" w:rsidRPr="00D96D61">
              <w:rPr>
                <w:rFonts w:ascii="Calibri" w:hAnsi="Calibri"/>
                <w:lang w:val="en-US" w:eastAsia="en-US"/>
              </w:rPr>
              <w:t>1.5 ≤ FC &lt; 3</w:t>
            </w:r>
            <w:r w:rsidR="00303C7E">
              <w:rPr>
                <w:rFonts w:ascii="Calibri" w:hAnsi="Calibri"/>
                <w:lang w:val="en-US" w:eastAsia="en-US"/>
              </w:rPr>
              <w:t>.0</w:t>
            </w:r>
          </w:p>
          <w:p w:rsidR="00B611D5" w:rsidRPr="00B611D5" w:rsidRDefault="00B611D5" w:rsidP="00055DA5">
            <w:pPr>
              <w:spacing w:line="480" w:lineRule="auto"/>
              <w:jc w:val="right"/>
              <w:rPr>
                <w:rFonts w:asciiTheme="minorHAnsi" w:hAnsiTheme="minorHAnsi" w:cstheme="minorHAnsi"/>
                <w:lang w:val="en-US"/>
              </w:rPr>
            </w:pPr>
            <w:r w:rsidRPr="00D96D61">
              <w:rPr>
                <w:rFonts w:ascii="Calibri" w:hAnsi="Calibri"/>
                <w:lang w:val="en-US" w:eastAsia="en-US"/>
              </w:rPr>
              <w:t>1.3 ≤ FC &lt; 1.5</w:t>
            </w:r>
          </w:p>
        </w:tc>
        <w:tc>
          <w:tcPr>
            <w:tcW w:w="992" w:type="dxa"/>
            <w:tcBorders>
              <w:top w:val="single"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13</w:t>
            </w:r>
          </w:p>
        </w:tc>
        <w:tc>
          <w:tcPr>
            <w:tcW w:w="992" w:type="dxa"/>
            <w:tcBorders>
              <w:top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17</w:t>
            </w:r>
          </w:p>
        </w:tc>
        <w:tc>
          <w:tcPr>
            <w:tcW w:w="993" w:type="dxa"/>
            <w:tcBorders>
              <w:top w:val="single"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64</w:t>
            </w:r>
          </w:p>
        </w:tc>
        <w:tc>
          <w:tcPr>
            <w:tcW w:w="992" w:type="dxa"/>
            <w:tcBorders>
              <w:top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51</w:t>
            </w:r>
          </w:p>
        </w:tc>
        <w:tc>
          <w:tcPr>
            <w:tcW w:w="992" w:type="dxa"/>
            <w:tcBorders>
              <w:top w:val="single"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25</w:t>
            </w:r>
          </w:p>
        </w:tc>
        <w:tc>
          <w:tcPr>
            <w:tcW w:w="992" w:type="dxa"/>
            <w:tcBorders>
              <w:top w:val="sing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38</w:t>
            </w:r>
          </w:p>
        </w:tc>
        <w:tc>
          <w:tcPr>
            <w:tcW w:w="1011" w:type="dxa"/>
            <w:tcBorders>
              <w:top w:val="single"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295</w:t>
            </w:r>
          </w:p>
        </w:tc>
        <w:tc>
          <w:tcPr>
            <w:tcW w:w="1078" w:type="dxa"/>
            <w:tcBorders>
              <w:top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0</w:t>
            </w:r>
          </w:p>
        </w:tc>
      </w:tr>
      <w:tr w:rsidR="00B611D5" w:rsidTr="00B40B36">
        <w:trPr>
          <w:trHeight w:val="423"/>
        </w:trPr>
        <w:tc>
          <w:tcPr>
            <w:tcW w:w="1980" w:type="dxa"/>
            <w:vMerge/>
            <w:tcBorders>
              <w:bottom w:val="dashSmallGap" w:sz="4" w:space="0" w:color="auto"/>
              <w:right w:val="single" w:sz="4" w:space="0" w:color="auto"/>
            </w:tcBorders>
          </w:tcPr>
          <w:p w:rsidR="00B611D5" w:rsidRPr="00B611D5" w:rsidRDefault="00B611D5" w:rsidP="00055DA5">
            <w:pPr>
              <w:spacing w:line="480" w:lineRule="auto"/>
              <w:rPr>
                <w:rFonts w:asciiTheme="minorHAnsi" w:hAnsiTheme="minorHAnsi" w:cstheme="minorHAnsi"/>
                <w:lang w:val="en-US"/>
              </w:rPr>
            </w:pPr>
          </w:p>
        </w:tc>
        <w:tc>
          <w:tcPr>
            <w:tcW w:w="992" w:type="dxa"/>
            <w:tcBorders>
              <w:left w:val="single" w:sz="4" w:space="0" w:color="auto"/>
              <w:bottom w:val="dashSmallGap"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68</w:t>
            </w:r>
          </w:p>
        </w:tc>
        <w:tc>
          <w:tcPr>
            <w:tcW w:w="992" w:type="dxa"/>
            <w:tcBorders>
              <w:bottom w:val="dashSmallGap"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92</w:t>
            </w:r>
          </w:p>
        </w:tc>
        <w:tc>
          <w:tcPr>
            <w:tcW w:w="993" w:type="dxa"/>
            <w:tcBorders>
              <w:left w:val="single" w:sz="4" w:space="0" w:color="auto"/>
              <w:bottom w:val="dashSmallGap"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236</w:t>
            </w:r>
          </w:p>
        </w:tc>
        <w:tc>
          <w:tcPr>
            <w:tcW w:w="992" w:type="dxa"/>
            <w:tcBorders>
              <w:bottom w:val="dashSmallGap"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211</w:t>
            </w:r>
          </w:p>
        </w:tc>
        <w:tc>
          <w:tcPr>
            <w:tcW w:w="992" w:type="dxa"/>
            <w:tcBorders>
              <w:left w:val="single" w:sz="4" w:space="0" w:color="auto"/>
              <w:bottom w:val="dashSmallGap"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170</w:t>
            </w:r>
          </w:p>
        </w:tc>
        <w:tc>
          <w:tcPr>
            <w:tcW w:w="992" w:type="dxa"/>
            <w:tcBorders>
              <w:bottom w:val="dashSmallGap"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159</w:t>
            </w:r>
          </w:p>
        </w:tc>
        <w:tc>
          <w:tcPr>
            <w:tcW w:w="1011" w:type="dxa"/>
            <w:tcBorders>
              <w:left w:val="single" w:sz="4" w:space="0" w:color="auto"/>
              <w:bottom w:val="dashSmallGap"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435</w:t>
            </w:r>
          </w:p>
        </w:tc>
        <w:tc>
          <w:tcPr>
            <w:tcW w:w="1078" w:type="dxa"/>
            <w:tcBorders>
              <w:bottom w:val="dashSmallGap"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511</w:t>
            </w:r>
          </w:p>
        </w:tc>
      </w:tr>
      <w:tr w:rsidR="00B611D5" w:rsidTr="00B40B36">
        <w:trPr>
          <w:trHeight w:val="401"/>
        </w:trPr>
        <w:tc>
          <w:tcPr>
            <w:tcW w:w="1980" w:type="dxa"/>
            <w:vMerge w:val="restart"/>
            <w:tcBorders>
              <w:top w:val="dashSmallGap" w:sz="4" w:space="0" w:color="auto"/>
              <w:bottom w:val="double" w:sz="4" w:space="0" w:color="auto"/>
              <w:right w:val="single" w:sz="4" w:space="0" w:color="auto"/>
            </w:tcBorders>
          </w:tcPr>
          <w:p w:rsidR="00B611D5" w:rsidRDefault="002A5749" w:rsidP="00055DA5">
            <w:pPr>
              <w:spacing w:line="480" w:lineRule="auto"/>
              <w:jc w:val="right"/>
              <w:rPr>
                <w:rFonts w:ascii="Calibri" w:hAnsi="Calibri"/>
                <w:lang w:val="en-US" w:eastAsia="en-US"/>
              </w:rPr>
            </w:pPr>
            <w:r>
              <w:rPr>
                <w:noProof/>
              </w:rPr>
              <mc:AlternateContent>
                <mc:Choice Requires="wps">
                  <w:drawing>
                    <wp:anchor distT="0" distB="0" distL="114300" distR="114300" simplePos="0" relativeHeight="251663360" behindDoc="0" locked="0" layoutInCell="1" allowOverlap="1">
                      <wp:simplePos x="0" y="0"/>
                      <wp:positionH relativeFrom="page">
                        <wp:posOffset>19050</wp:posOffset>
                      </wp:positionH>
                      <wp:positionV relativeFrom="paragraph">
                        <wp:posOffset>114300</wp:posOffset>
                      </wp:positionV>
                      <wp:extent cx="295275" cy="323850"/>
                      <wp:effectExtent l="19050" t="0" r="28575" b="38100"/>
                      <wp:wrapNone/>
                      <wp:docPr id="4" name="Strzałka w górę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95275" cy="323850"/>
                              </a:xfrm>
                              <a:prstGeom prst="upArrow">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7FE885" id="Strzałka w górę 6" o:spid="_x0000_s1026" type="#_x0000_t68" style="position:absolute;margin-left:1.5pt;margin-top:9pt;width:23.25pt;height:25.5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" adj="9847" filled="f" strokecolor="windowText" strokeweight="1.25pt">
                      <v:path arrowok="t"/>
                      <w10:wrap anchorx="page"/>
                    </v:shape>
                  </w:pict>
                </mc:Fallback>
              </mc:AlternateContent>
            </w:r>
            <w:r w:rsidR="00303C7E" w:rsidRPr="00D96D61">
              <w:rPr>
                <w:rFonts w:ascii="Calibri" w:hAnsi="Calibri"/>
                <w:lang w:val="en-US" w:eastAsia="en-US"/>
              </w:rPr>
              <w:t>0.5 &lt; FC ≤ 0.7</w:t>
            </w:r>
          </w:p>
          <w:p w:rsidR="00303C7E" w:rsidRPr="00B611D5" w:rsidRDefault="00303C7E" w:rsidP="00055DA5">
            <w:pPr>
              <w:spacing w:line="480" w:lineRule="auto"/>
              <w:jc w:val="right"/>
              <w:rPr>
                <w:rFonts w:asciiTheme="minorHAnsi" w:hAnsiTheme="minorHAnsi" w:cstheme="minorHAnsi"/>
                <w:lang w:val="en-US"/>
              </w:rPr>
            </w:pPr>
            <w:r w:rsidRPr="00D96D61">
              <w:rPr>
                <w:rFonts w:ascii="Calibri" w:hAnsi="Calibri"/>
                <w:lang w:val="en-US" w:eastAsia="en-US"/>
              </w:rPr>
              <w:t>0.3 ≤ FC ≤ 0.5</w:t>
            </w:r>
          </w:p>
        </w:tc>
        <w:tc>
          <w:tcPr>
            <w:tcW w:w="992" w:type="dxa"/>
            <w:tcBorders>
              <w:top w:val="dashSmallGap"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40</w:t>
            </w:r>
          </w:p>
        </w:tc>
        <w:tc>
          <w:tcPr>
            <w:tcW w:w="992" w:type="dxa"/>
            <w:tcBorders>
              <w:top w:val="dashSmallGap"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26</w:t>
            </w:r>
          </w:p>
        </w:tc>
        <w:tc>
          <w:tcPr>
            <w:tcW w:w="993" w:type="dxa"/>
            <w:tcBorders>
              <w:top w:val="dashSmallGap"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249</w:t>
            </w:r>
          </w:p>
        </w:tc>
        <w:tc>
          <w:tcPr>
            <w:tcW w:w="992" w:type="dxa"/>
            <w:tcBorders>
              <w:top w:val="dashSmallGap"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160</w:t>
            </w:r>
          </w:p>
        </w:tc>
        <w:tc>
          <w:tcPr>
            <w:tcW w:w="992" w:type="dxa"/>
            <w:tcBorders>
              <w:top w:val="dashSmallGap"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43</w:t>
            </w:r>
          </w:p>
        </w:tc>
        <w:tc>
          <w:tcPr>
            <w:tcW w:w="992" w:type="dxa"/>
            <w:tcBorders>
              <w:top w:val="dashSmallGap"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124</w:t>
            </w:r>
          </w:p>
        </w:tc>
        <w:tc>
          <w:tcPr>
            <w:tcW w:w="1011" w:type="dxa"/>
            <w:tcBorders>
              <w:top w:val="dashSmallGap" w:sz="4" w:space="0" w:color="auto"/>
              <w:lef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503</w:t>
            </w:r>
          </w:p>
        </w:tc>
        <w:tc>
          <w:tcPr>
            <w:tcW w:w="1078" w:type="dxa"/>
            <w:tcBorders>
              <w:top w:val="dashSmallGap"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236</w:t>
            </w:r>
          </w:p>
        </w:tc>
      </w:tr>
      <w:tr w:rsidR="00B611D5" w:rsidTr="00B40B36">
        <w:trPr>
          <w:trHeight w:val="420"/>
        </w:trPr>
        <w:tc>
          <w:tcPr>
            <w:tcW w:w="1980" w:type="dxa"/>
            <w:vMerge/>
            <w:tcBorders>
              <w:bottom w:val="double" w:sz="4" w:space="0" w:color="auto"/>
              <w:right w:val="single" w:sz="4" w:space="0" w:color="auto"/>
            </w:tcBorders>
          </w:tcPr>
          <w:p w:rsidR="00B611D5" w:rsidRPr="00B611D5" w:rsidRDefault="00B611D5" w:rsidP="00055DA5">
            <w:pPr>
              <w:spacing w:line="480" w:lineRule="auto"/>
              <w:rPr>
                <w:rFonts w:asciiTheme="minorHAnsi" w:hAnsiTheme="minorHAnsi" w:cstheme="minorHAnsi"/>
                <w:lang w:val="en-US"/>
              </w:rPr>
            </w:pPr>
          </w:p>
        </w:tc>
        <w:tc>
          <w:tcPr>
            <w:tcW w:w="992" w:type="dxa"/>
            <w:tcBorders>
              <w:left w:val="single" w:sz="4" w:space="0" w:color="auto"/>
              <w:bottom w:val="doub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0</w:t>
            </w:r>
          </w:p>
        </w:tc>
        <w:tc>
          <w:tcPr>
            <w:tcW w:w="992" w:type="dxa"/>
            <w:tcBorders>
              <w:bottom w:val="doub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w:t>
            </w:r>
          </w:p>
        </w:tc>
        <w:tc>
          <w:tcPr>
            <w:tcW w:w="993" w:type="dxa"/>
            <w:tcBorders>
              <w:left w:val="single" w:sz="4" w:space="0" w:color="auto"/>
              <w:bottom w:val="doub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5</w:t>
            </w:r>
          </w:p>
        </w:tc>
        <w:tc>
          <w:tcPr>
            <w:tcW w:w="992" w:type="dxa"/>
            <w:tcBorders>
              <w:bottom w:val="doub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w:t>
            </w:r>
          </w:p>
        </w:tc>
        <w:tc>
          <w:tcPr>
            <w:tcW w:w="992" w:type="dxa"/>
            <w:tcBorders>
              <w:left w:val="single" w:sz="4" w:space="0" w:color="auto"/>
              <w:bottom w:val="doub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w:t>
            </w:r>
          </w:p>
        </w:tc>
        <w:tc>
          <w:tcPr>
            <w:tcW w:w="992" w:type="dxa"/>
            <w:tcBorders>
              <w:bottom w:val="double" w:sz="4" w:space="0" w:color="auto"/>
              <w:right w:val="sing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4</w:t>
            </w:r>
          </w:p>
        </w:tc>
        <w:tc>
          <w:tcPr>
            <w:tcW w:w="1011" w:type="dxa"/>
            <w:tcBorders>
              <w:left w:val="single" w:sz="4" w:space="0" w:color="auto"/>
              <w:bottom w:val="doub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19</w:t>
            </w:r>
          </w:p>
        </w:tc>
        <w:tc>
          <w:tcPr>
            <w:tcW w:w="1078" w:type="dxa"/>
            <w:tcBorders>
              <w:bottom w:val="double" w:sz="4" w:space="0" w:color="auto"/>
            </w:tcBorders>
          </w:tcPr>
          <w:p w:rsidR="00B611D5" w:rsidRPr="00B611D5" w:rsidRDefault="00B611D5" w:rsidP="00055DA5">
            <w:pPr>
              <w:spacing w:line="480" w:lineRule="auto"/>
              <w:jc w:val="center"/>
              <w:rPr>
                <w:rFonts w:asciiTheme="minorHAnsi" w:hAnsiTheme="minorHAnsi" w:cstheme="minorHAnsi"/>
                <w:lang w:val="en-US"/>
              </w:rPr>
            </w:pPr>
            <w:r>
              <w:rPr>
                <w:rFonts w:asciiTheme="minorHAnsi" w:hAnsiTheme="minorHAnsi" w:cstheme="minorHAnsi"/>
                <w:lang w:val="en-US"/>
              </w:rPr>
              <w:t>6</w:t>
            </w:r>
          </w:p>
        </w:tc>
      </w:tr>
    </w:tbl>
    <w:p w:rsidR="00FD1E7C" w:rsidRDefault="00FD1E7C">
      <w:pPr>
        <w:rPr>
          <w:lang w:val="en-US"/>
        </w:rPr>
      </w:pPr>
      <w:r>
        <w:rPr>
          <w:lang w:val="en-US"/>
        </w:rPr>
        <w:br w:type="page"/>
      </w:r>
    </w:p>
    <w:p w:rsidR="00FD1E7C" w:rsidRDefault="00322427" w:rsidP="00FB55D2">
      <w:pPr>
        <w:spacing w:line="480" w:lineRule="auto"/>
        <w:rPr>
          <w:lang w:val="en-US"/>
        </w:rPr>
      </w:pPr>
      <w:r>
        <w:rPr>
          <w:lang w:val="en-US"/>
        </w:rPr>
        <w:t>Tab.</w:t>
      </w:r>
      <w:r w:rsidR="00B719C0">
        <w:rPr>
          <w:lang w:val="en-US"/>
        </w:rPr>
        <w:t xml:space="preserve"> c</w:t>
      </w:r>
      <w:r w:rsidR="00FD1E7C" w:rsidRPr="000F35AB">
        <w:rPr>
          <w:lang w:val="en-US"/>
        </w:rPr>
        <w:t xml:space="preserve"> Selected genes with the most changed expression profile (3 most up- and down-regulated) after 24- and 48 h treatment with i</w:t>
      </w:r>
      <w:r w:rsidR="00787B7B" w:rsidRPr="000F35AB">
        <w:rPr>
          <w:lang w:val="en-US"/>
        </w:rPr>
        <w:t>ndomethacin</w:t>
      </w:r>
      <w:r w:rsidR="00FD1E7C" w:rsidRPr="000F35AB">
        <w:rPr>
          <w:lang w:val="en-US"/>
        </w:rPr>
        <w:t xml:space="preserve">. The </w:t>
      </w:r>
      <w:r w:rsidR="00FD1E7C" w:rsidRPr="00CD3AE7">
        <w:rPr>
          <w:lang w:val="en-US"/>
        </w:rPr>
        <w:t>symbols of genes that were up-regulat</w:t>
      </w:r>
      <w:r w:rsidR="00FD1E7C">
        <w:rPr>
          <w:lang w:val="en-US"/>
        </w:rPr>
        <w:t>ed are bolded and genes present</w:t>
      </w:r>
      <w:r w:rsidR="00FD1E7C" w:rsidRPr="00CD3AE7">
        <w:rPr>
          <w:lang w:val="en-US"/>
        </w:rPr>
        <w:t xml:space="preserve"> in more than one conditi</w:t>
      </w:r>
      <w:r w:rsidR="00B97026">
        <w:rPr>
          <w:lang w:val="en-US"/>
        </w:rPr>
        <w:t xml:space="preserve">ons are </w:t>
      </w:r>
      <w:r w:rsidR="00FD1E7C" w:rsidRPr="00CD3AE7">
        <w:rPr>
          <w:lang w:val="en-US"/>
        </w:rPr>
        <w:t>underlined.</w:t>
      </w:r>
    </w:p>
    <w:p w:rsidR="00692A6E" w:rsidRDefault="00692A6E" w:rsidP="00FB55D2">
      <w:pPr>
        <w:spacing w:line="480" w:lineRule="auto"/>
        <w:rPr>
          <w:lang w:val="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9"/>
        <w:gridCol w:w="823"/>
        <w:gridCol w:w="1865"/>
        <w:gridCol w:w="4267"/>
        <w:gridCol w:w="1862"/>
      </w:tblGrid>
      <w:tr w:rsidR="00FD1E7C" w:rsidRPr="007F6011" w:rsidTr="00787B7B">
        <w:trPr>
          <w:jc w:val="center"/>
        </w:trPr>
        <w:tc>
          <w:tcPr>
            <w:tcW w:w="2212" w:type="dxa"/>
            <w:gridSpan w:val="2"/>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Conditions</w:t>
            </w:r>
          </w:p>
        </w:tc>
        <w:tc>
          <w:tcPr>
            <w:tcW w:w="1865" w:type="dxa"/>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Gene</w:t>
            </w:r>
            <w:r>
              <w:rPr>
                <w:rFonts w:ascii="Calibri" w:hAnsi="Calibri"/>
                <w:b/>
                <w:lang w:val="en-US" w:eastAsia="en-US"/>
              </w:rPr>
              <w:t>/Locus</w:t>
            </w:r>
          </w:p>
        </w:tc>
        <w:tc>
          <w:tcPr>
            <w:tcW w:w="4267" w:type="dxa"/>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Description</w:t>
            </w:r>
          </w:p>
        </w:tc>
        <w:tc>
          <w:tcPr>
            <w:tcW w:w="1862" w:type="dxa"/>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 xml:space="preserve">Fold change  </w:t>
            </w:r>
          </w:p>
          <w:p w:rsidR="00FD1E7C" w:rsidRPr="00D96D61" w:rsidRDefault="00FD1E7C" w:rsidP="00BC5B08">
            <w:pPr>
              <w:spacing w:line="480" w:lineRule="auto"/>
              <w:jc w:val="center"/>
              <w:rPr>
                <w:rFonts w:ascii="Calibri" w:hAnsi="Calibri"/>
                <w:b/>
                <w:lang w:val="en-US" w:eastAsia="en-US"/>
              </w:rPr>
            </w:pPr>
            <w:r w:rsidRPr="000F35AB">
              <w:rPr>
                <w:rFonts w:ascii="Calibri" w:hAnsi="Calibri"/>
                <w:b/>
                <w:lang w:val="en-US" w:eastAsia="en-US"/>
              </w:rPr>
              <w:t>± S</w:t>
            </w:r>
            <w:r w:rsidR="009728DA" w:rsidRPr="000F35AB">
              <w:rPr>
                <w:rFonts w:ascii="Calibri" w:hAnsi="Calibri"/>
                <w:b/>
                <w:lang w:val="en-US" w:eastAsia="en-US"/>
              </w:rPr>
              <w:t>.</w:t>
            </w:r>
            <w:r w:rsidRPr="000F35AB">
              <w:rPr>
                <w:rFonts w:ascii="Calibri" w:hAnsi="Calibri"/>
                <w:b/>
                <w:lang w:val="en-US" w:eastAsia="en-US"/>
              </w:rPr>
              <w:t>D</w:t>
            </w:r>
            <w:r w:rsidR="009728DA" w:rsidRPr="000F35AB">
              <w:rPr>
                <w:rFonts w:ascii="Calibri" w:hAnsi="Calibri"/>
                <w:b/>
                <w:lang w:val="en-US" w:eastAsia="en-US"/>
              </w:rPr>
              <w:t>.</w:t>
            </w:r>
          </w:p>
        </w:tc>
      </w:tr>
      <w:tr w:rsidR="00FD1E7C" w:rsidRPr="007F6011" w:rsidTr="00787B7B">
        <w:trPr>
          <w:jc w:val="center"/>
        </w:trPr>
        <w:tc>
          <w:tcPr>
            <w:tcW w:w="1389" w:type="dxa"/>
            <w:vMerge w:val="restart"/>
            <w:tcBorders>
              <w:top w:val="double" w:sz="4" w:space="0" w:color="auto"/>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 xml:space="preserve">2 </w:t>
            </w:r>
            <w:r w:rsidRPr="00D96D61">
              <w:rPr>
                <w:rFonts w:ascii="Calibri" w:hAnsi="Calibri" w:cs="Calibri"/>
                <w:b/>
                <w:lang w:val="en-US" w:eastAsia="en-US"/>
              </w:rPr>
              <w:t>µ</w:t>
            </w:r>
            <w:r w:rsidRPr="00D96D61">
              <w:rPr>
                <w:rFonts w:ascii="Calibri" w:hAnsi="Calibri"/>
                <w:b/>
                <w:lang w:val="en-US" w:eastAsia="en-US"/>
              </w:rPr>
              <w:t>M</w:t>
            </w:r>
          </w:p>
        </w:tc>
        <w:tc>
          <w:tcPr>
            <w:tcW w:w="823" w:type="dxa"/>
            <w:vMerge w:val="restart"/>
            <w:tcBorders>
              <w:top w:val="double" w:sz="4" w:space="0" w:color="auto"/>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24 h</w:t>
            </w:r>
          </w:p>
        </w:tc>
        <w:tc>
          <w:tcPr>
            <w:tcW w:w="1865" w:type="dxa"/>
            <w:tcBorders>
              <w:top w:val="double" w:sz="4" w:space="0" w:color="auto"/>
              <w:left w:val="double" w:sz="4" w:space="0" w:color="auto"/>
              <w:bottom w:val="nil"/>
              <w:right w:val="nil"/>
            </w:tcBorders>
          </w:tcPr>
          <w:p w:rsidR="00FD1E7C" w:rsidRPr="00D96D61" w:rsidRDefault="00FD1E7C" w:rsidP="00BC5B08">
            <w:pPr>
              <w:spacing w:line="480" w:lineRule="auto"/>
              <w:rPr>
                <w:rFonts w:ascii="Calibri" w:hAnsi="Calibri"/>
                <w:b/>
                <w:i/>
                <w:lang w:val="en-US" w:eastAsia="en-US"/>
              </w:rPr>
            </w:pPr>
            <w:r w:rsidRPr="00D96D61">
              <w:rPr>
                <w:rFonts w:ascii="Calibri" w:hAnsi="Calibri"/>
                <w:b/>
                <w:i/>
                <w:lang w:val="en-US" w:eastAsia="en-US"/>
              </w:rPr>
              <w:t>ZNF346</w:t>
            </w:r>
          </w:p>
        </w:tc>
        <w:tc>
          <w:tcPr>
            <w:tcW w:w="4267" w:type="dxa"/>
            <w:tcBorders>
              <w:top w:val="double" w:sz="4" w:space="0" w:color="auto"/>
              <w:left w:val="nil"/>
              <w:bottom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Zinc Finger Protein 346</w:t>
            </w:r>
          </w:p>
          <w:p w:rsidR="00FD1E7C" w:rsidRPr="00D96D61" w:rsidRDefault="00FD1E7C" w:rsidP="00BC5B08">
            <w:pPr>
              <w:spacing w:line="480" w:lineRule="auto"/>
              <w:rPr>
                <w:rFonts w:ascii="Calibri" w:hAnsi="Calibri"/>
                <w:b/>
                <w:lang w:val="en-US" w:eastAsia="en-US"/>
              </w:rPr>
            </w:pPr>
          </w:p>
        </w:tc>
        <w:tc>
          <w:tcPr>
            <w:tcW w:w="1862" w:type="dxa"/>
            <w:tcBorders>
              <w:top w:val="double" w:sz="4" w:space="0" w:color="auto"/>
              <w:left w:val="nil"/>
              <w:bottom w:val="nil"/>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1.76 ± 0.47</w:t>
            </w:r>
          </w:p>
        </w:tc>
      </w:tr>
      <w:tr w:rsidR="00FD1E7C" w:rsidRPr="007F6011" w:rsidTr="00787B7B">
        <w:trPr>
          <w:jc w:val="center"/>
        </w:trPr>
        <w:tc>
          <w:tcPr>
            <w:tcW w:w="1389"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top w:val="nil"/>
              <w:left w:val="double" w:sz="4" w:space="0" w:color="auto"/>
              <w:bottom w:val="nil"/>
              <w:right w:val="nil"/>
            </w:tcBorders>
          </w:tcPr>
          <w:p w:rsidR="00FD1E7C" w:rsidRPr="00D96D61" w:rsidRDefault="00FD1E7C" w:rsidP="00BC5B08">
            <w:pPr>
              <w:spacing w:line="480" w:lineRule="auto"/>
              <w:rPr>
                <w:rFonts w:ascii="Calibri" w:hAnsi="Calibri"/>
                <w:b/>
                <w:i/>
                <w:lang w:val="en-US" w:eastAsia="en-US"/>
              </w:rPr>
            </w:pPr>
            <w:r w:rsidRPr="00D96D61">
              <w:rPr>
                <w:rFonts w:ascii="Calibri" w:hAnsi="Calibri"/>
                <w:b/>
                <w:i/>
                <w:lang w:val="en-US" w:eastAsia="en-US"/>
              </w:rPr>
              <w:t>LOC729806</w:t>
            </w:r>
          </w:p>
        </w:tc>
        <w:tc>
          <w:tcPr>
            <w:tcW w:w="4267" w:type="dxa"/>
            <w:tcBorders>
              <w:top w:val="nil"/>
              <w:left w:val="nil"/>
              <w:bottom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uncertain function</w:t>
            </w:r>
          </w:p>
          <w:p w:rsidR="00FD1E7C" w:rsidRPr="00D96D61" w:rsidRDefault="00FD1E7C" w:rsidP="00BC5B08">
            <w:pPr>
              <w:spacing w:line="480" w:lineRule="auto"/>
              <w:rPr>
                <w:rFonts w:ascii="Calibri" w:hAnsi="Calibri"/>
                <w:b/>
                <w:lang w:val="en-US" w:eastAsia="en-US"/>
              </w:rPr>
            </w:pPr>
          </w:p>
        </w:tc>
        <w:tc>
          <w:tcPr>
            <w:tcW w:w="1862"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 xml:space="preserve">1.69 </w:t>
            </w:r>
            <w:r w:rsidRPr="00D96D61">
              <w:rPr>
                <w:rFonts w:ascii="Calibri" w:hAnsi="Calibri"/>
                <w:b/>
                <w:lang w:val="en-US" w:eastAsia="en-US"/>
              </w:rPr>
              <w:t xml:space="preserve">± </w:t>
            </w:r>
            <w:r w:rsidRPr="00D96D61">
              <w:rPr>
                <w:rFonts w:ascii="Calibri" w:hAnsi="Calibri"/>
                <w:b/>
                <w:lang w:eastAsia="en-US"/>
              </w:rPr>
              <w:t>0.20</w:t>
            </w:r>
          </w:p>
        </w:tc>
      </w:tr>
      <w:tr w:rsidR="00FD1E7C" w:rsidRPr="007F6011" w:rsidTr="00787B7B">
        <w:trPr>
          <w:jc w:val="center"/>
        </w:trPr>
        <w:tc>
          <w:tcPr>
            <w:tcW w:w="1389"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top w:val="nil"/>
              <w:left w:val="double" w:sz="4" w:space="0" w:color="auto"/>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MIR1974</w:t>
            </w:r>
          </w:p>
        </w:tc>
        <w:tc>
          <w:tcPr>
            <w:tcW w:w="4267" w:type="dxa"/>
            <w:tcBorders>
              <w:top w:val="nil"/>
              <w:left w:val="nil"/>
              <w:right w:val="nil"/>
            </w:tcBorders>
          </w:tcPr>
          <w:p w:rsidR="00FD1E7C" w:rsidRPr="00D96D61" w:rsidRDefault="00FD1E7C" w:rsidP="00BC5B08">
            <w:pPr>
              <w:spacing w:line="480" w:lineRule="auto"/>
              <w:rPr>
                <w:rFonts w:ascii="Calibri" w:hAnsi="Calibri"/>
                <w:b/>
                <w:bCs/>
                <w:lang w:eastAsia="en-US"/>
              </w:rPr>
            </w:pPr>
            <w:r w:rsidRPr="00D96D61">
              <w:rPr>
                <w:rFonts w:ascii="Calibri" w:hAnsi="Calibri"/>
                <w:b/>
                <w:bCs/>
                <w:lang w:eastAsia="en-US"/>
              </w:rPr>
              <w:t>microRNA 1974</w:t>
            </w:r>
          </w:p>
          <w:p w:rsidR="00FD1E7C" w:rsidRPr="00D96D61" w:rsidRDefault="00FD1E7C" w:rsidP="00BC5B08">
            <w:pPr>
              <w:spacing w:line="480" w:lineRule="auto"/>
              <w:rPr>
                <w:rFonts w:ascii="Calibri" w:hAnsi="Calibri"/>
                <w:b/>
                <w:lang w:val="en-US" w:eastAsia="en-US"/>
              </w:rPr>
            </w:pPr>
          </w:p>
        </w:tc>
        <w:tc>
          <w:tcPr>
            <w:tcW w:w="1862" w:type="dxa"/>
            <w:tcBorders>
              <w:top w:val="nil"/>
              <w:left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 xml:space="preserve">1.69 </w:t>
            </w:r>
            <w:r w:rsidRPr="00D96D61">
              <w:rPr>
                <w:rFonts w:ascii="Calibri" w:hAnsi="Calibri"/>
                <w:b/>
                <w:lang w:val="en-US" w:eastAsia="en-US"/>
              </w:rPr>
              <w:t>±</w:t>
            </w:r>
            <w:r w:rsidRPr="00D96D61">
              <w:rPr>
                <w:rFonts w:ascii="Calibri" w:hAnsi="Calibri"/>
                <w:b/>
                <w:lang w:eastAsia="en-US"/>
              </w:rPr>
              <w:t xml:space="preserve"> 0.25</w:t>
            </w:r>
          </w:p>
        </w:tc>
      </w:tr>
      <w:tr w:rsidR="00FD1E7C" w:rsidRPr="007F6011" w:rsidTr="00787B7B">
        <w:trPr>
          <w:jc w:val="center"/>
        </w:trPr>
        <w:tc>
          <w:tcPr>
            <w:tcW w:w="1389"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PROSAPIP1</w:t>
            </w:r>
          </w:p>
        </w:tc>
        <w:tc>
          <w:tcPr>
            <w:tcW w:w="4267" w:type="dxa"/>
            <w:tcBorders>
              <w:left w:val="nil"/>
              <w:bottom w:val="nil"/>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Proline Rich Synapse Associated Protein Interacting Protein 1</w:t>
            </w:r>
          </w:p>
        </w:tc>
        <w:tc>
          <w:tcPr>
            <w:tcW w:w="1862" w:type="dxa"/>
            <w:tcBorders>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 xml:space="preserve">0.61 </w:t>
            </w:r>
            <w:r w:rsidRPr="00D96D61">
              <w:rPr>
                <w:rFonts w:ascii="Calibri" w:hAnsi="Calibri"/>
                <w:b/>
                <w:lang w:val="en-US" w:eastAsia="en-US"/>
              </w:rPr>
              <w:t xml:space="preserve">± </w:t>
            </w:r>
            <w:r w:rsidRPr="00D96D61">
              <w:rPr>
                <w:rFonts w:ascii="Calibri" w:hAnsi="Calibri"/>
                <w:lang w:val="en-US" w:eastAsia="en-US"/>
              </w:rPr>
              <w:t>0.10</w:t>
            </w:r>
          </w:p>
        </w:tc>
      </w:tr>
      <w:tr w:rsidR="00FD1E7C" w:rsidRPr="007F6011" w:rsidTr="00787B7B">
        <w:trPr>
          <w:jc w:val="center"/>
        </w:trPr>
        <w:tc>
          <w:tcPr>
            <w:tcW w:w="1389"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top w:val="nil"/>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LOC651075</w:t>
            </w:r>
          </w:p>
        </w:tc>
        <w:tc>
          <w:tcPr>
            <w:tcW w:w="4267" w:type="dxa"/>
            <w:tcBorders>
              <w:top w:val="nil"/>
              <w:left w:val="nil"/>
              <w:bottom w:val="nil"/>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uncertain function</w:t>
            </w:r>
          </w:p>
          <w:p w:rsidR="00FD1E7C" w:rsidRPr="00D96D61" w:rsidRDefault="00FD1E7C" w:rsidP="00BC5B08">
            <w:pPr>
              <w:spacing w:line="480" w:lineRule="auto"/>
              <w:rPr>
                <w:rFonts w:ascii="Calibri" w:hAnsi="Calibri"/>
                <w:lang w:val="en-US" w:eastAsia="en-US"/>
              </w:rPr>
            </w:pPr>
          </w:p>
        </w:tc>
        <w:tc>
          <w:tcPr>
            <w:tcW w:w="1862"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0.60 ± 0.06</w:t>
            </w:r>
          </w:p>
        </w:tc>
      </w:tr>
      <w:tr w:rsidR="00FD1E7C" w:rsidRPr="007F6011" w:rsidTr="00787B7B">
        <w:trPr>
          <w:jc w:val="center"/>
        </w:trPr>
        <w:tc>
          <w:tcPr>
            <w:tcW w:w="1389"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top w:val="nil"/>
              <w:left w:val="double" w:sz="4" w:space="0" w:color="auto"/>
              <w:bottom w:val="double" w:sz="4" w:space="0" w:color="auto"/>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PIGL</w:t>
            </w:r>
          </w:p>
        </w:tc>
        <w:tc>
          <w:tcPr>
            <w:tcW w:w="4267" w:type="dxa"/>
            <w:tcBorders>
              <w:top w:val="nil"/>
              <w:left w:val="nil"/>
              <w:bottom w:val="double" w:sz="4" w:space="0" w:color="auto"/>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Phosphatidylinositol-Glycan Biosynthesis Class L Protein</w:t>
            </w:r>
          </w:p>
        </w:tc>
        <w:tc>
          <w:tcPr>
            <w:tcW w:w="1862" w:type="dxa"/>
            <w:tcBorders>
              <w:top w:val="nil"/>
              <w:left w:val="nil"/>
              <w:bottom w:val="double" w:sz="4" w:space="0" w:color="auto"/>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0.57 ± 0.13</w:t>
            </w:r>
          </w:p>
        </w:tc>
      </w:tr>
      <w:tr w:rsidR="00FD1E7C" w:rsidRPr="007F6011" w:rsidTr="00787B7B">
        <w:trPr>
          <w:jc w:val="center"/>
        </w:trPr>
        <w:tc>
          <w:tcPr>
            <w:tcW w:w="1389"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val="restart"/>
            <w:tcBorders>
              <w:top w:val="double" w:sz="4" w:space="0" w:color="auto"/>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48 h</w:t>
            </w:r>
          </w:p>
        </w:tc>
        <w:tc>
          <w:tcPr>
            <w:tcW w:w="1865" w:type="dxa"/>
            <w:tcBorders>
              <w:top w:val="double" w:sz="4" w:space="0" w:color="auto"/>
              <w:left w:val="double" w:sz="4" w:space="0" w:color="auto"/>
              <w:bottom w:val="nil"/>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LOC654116</w:t>
            </w:r>
          </w:p>
        </w:tc>
        <w:tc>
          <w:tcPr>
            <w:tcW w:w="4267" w:type="dxa"/>
            <w:tcBorders>
              <w:top w:val="double" w:sz="4" w:space="0" w:color="auto"/>
              <w:left w:val="nil"/>
              <w:bottom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uncertain function</w:t>
            </w:r>
          </w:p>
          <w:p w:rsidR="00FD1E7C" w:rsidRPr="00D96D61" w:rsidRDefault="00FD1E7C" w:rsidP="00BC5B08">
            <w:pPr>
              <w:spacing w:line="480" w:lineRule="auto"/>
              <w:rPr>
                <w:rFonts w:ascii="Calibri" w:hAnsi="Calibri"/>
                <w:b/>
                <w:lang w:val="en-US" w:eastAsia="en-US"/>
              </w:rPr>
            </w:pPr>
          </w:p>
        </w:tc>
        <w:tc>
          <w:tcPr>
            <w:tcW w:w="1862" w:type="dxa"/>
            <w:tcBorders>
              <w:top w:val="double" w:sz="4" w:space="0" w:color="auto"/>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1.78 ± 0.45</w:t>
            </w:r>
          </w:p>
        </w:tc>
      </w:tr>
      <w:tr w:rsidR="00FD1E7C" w:rsidRPr="007F6011" w:rsidTr="00787B7B">
        <w:trPr>
          <w:jc w:val="center"/>
        </w:trPr>
        <w:tc>
          <w:tcPr>
            <w:tcW w:w="1389"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top w:val="nil"/>
              <w:left w:val="double" w:sz="4" w:space="0" w:color="auto"/>
              <w:bottom w:val="nil"/>
              <w:right w:val="nil"/>
            </w:tcBorders>
          </w:tcPr>
          <w:p w:rsidR="00FD1E7C" w:rsidRPr="00D96D61" w:rsidRDefault="00FD1E7C" w:rsidP="00BC5B08">
            <w:pPr>
              <w:spacing w:line="480" w:lineRule="auto"/>
              <w:rPr>
                <w:rFonts w:ascii="Calibri" w:hAnsi="Calibri"/>
                <w:b/>
                <w:i/>
                <w:u w:val="single"/>
                <w:lang w:eastAsia="en-US"/>
              </w:rPr>
            </w:pPr>
            <w:r w:rsidRPr="00D96D61">
              <w:rPr>
                <w:rFonts w:ascii="Calibri" w:hAnsi="Calibri"/>
                <w:b/>
                <w:i/>
                <w:u w:val="single"/>
                <w:lang w:eastAsia="en-US"/>
              </w:rPr>
              <w:t>SPHAR</w:t>
            </w:r>
          </w:p>
        </w:tc>
        <w:tc>
          <w:tcPr>
            <w:tcW w:w="4267" w:type="dxa"/>
            <w:tcBorders>
              <w:top w:val="nil"/>
              <w:left w:val="nil"/>
              <w:bottom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S-Phase Response Protein</w:t>
            </w:r>
          </w:p>
          <w:p w:rsidR="00FD1E7C" w:rsidRPr="00D96D61" w:rsidRDefault="00FD1E7C" w:rsidP="00BC5B08">
            <w:pPr>
              <w:spacing w:line="480" w:lineRule="auto"/>
              <w:rPr>
                <w:rFonts w:ascii="Calibri" w:hAnsi="Calibri"/>
                <w:b/>
                <w:lang w:val="en-US" w:eastAsia="en-US"/>
              </w:rPr>
            </w:pPr>
          </w:p>
        </w:tc>
        <w:tc>
          <w:tcPr>
            <w:tcW w:w="1862"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1.75 ± 0.40</w:t>
            </w:r>
          </w:p>
        </w:tc>
      </w:tr>
      <w:tr w:rsidR="00FD1E7C" w:rsidRPr="007F6011" w:rsidTr="00787B7B">
        <w:trPr>
          <w:jc w:val="center"/>
        </w:trPr>
        <w:tc>
          <w:tcPr>
            <w:tcW w:w="1389"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top w:val="nil"/>
              <w:left w:val="double" w:sz="4" w:space="0" w:color="auto"/>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SLC12A8</w:t>
            </w:r>
          </w:p>
        </w:tc>
        <w:tc>
          <w:tcPr>
            <w:tcW w:w="4267" w:type="dxa"/>
            <w:tcBorders>
              <w:top w:val="nil"/>
              <w:left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Solute Carrier Family 12 Member 8</w:t>
            </w:r>
          </w:p>
          <w:p w:rsidR="00FD1E7C" w:rsidRPr="00D96D61" w:rsidRDefault="00FD1E7C" w:rsidP="00BC5B08">
            <w:pPr>
              <w:spacing w:line="480" w:lineRule="auto"/>
              <w:rPr>
                <w:rFonts w:ascii="Calibri" w:hAnsi="Calibri"/>
                <w:b/>
                <w:lang w:val="en-US" w:eastAsia="en-US"/>
              </w:rPr>
            </w:pPr>
          </w:p>
        </w:tc>
        <w:tc>
          <w:tcPr>
            <w:tcW w:w="1862" w:type="dxa"/>
            <w:tcBorders>
              <w:top w:val="nil"/>
              <w:left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1.74 ± 0.11</w:t>
            </w:r>
          </w:p>
        </w:tc>
      </w:tr>
      <w:tr w:rsidR="00FD1E7C" w:rsidRPr="007F6011" w:rsidTr="00787B7B">
        <w:trPr>
          <w:jc w:val="center"/>
        </w:trPr>
        <w:tc>
          <w:tcPr>
            <w:tcW w:w="1389"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PRUNE</w:t>
            </w:r>
          </w:p>
        </w:tc>
        <w:tc>
          <w:tcPr>
            <w:tcW w:w="4267" w:type="dxa"/>
            <w:tcBorders>
              <w:left w:val="nil"/>
              <w:bottom w:val="nil"/>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Prune Exopolyphosphatase</w:t>
            </w:r>
          </w:p>
          <w:p w:rsidR="00FD1E7C" w:rsidRPr="00D96D61" w:rsidRDefault="00FD1E7C" w:rsidP="00BC5B08">
            <w:pPr>
              <w:spacing w:line="480" w:lineRule="auto"/>
              <w:rPr>
                <w:rFonts w:ascii="Calibri" w:hAnsi="Calibri"/>
                <w:lang w:val="en-US" w:eastAsia="en-US"/>
              </w:rPr>
            </w:pPr>
          </w:p>
        </w:tc>
        <w:tc>
          <w:tcPr>
            <w:tcW w:w="1862" w:type="dxa"/>
            <w:tcBorders>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0.66 ± 0.14</w:t>
            </w:r>
          </w:p>
        </w:tc>
      </w:tr>
      <w:tr w:rsidR="00FD1E7C" w:rsidRPr="007F6011" w:rsidTr="00787B7B">
        <w:trPr>
          <w:jc w:val="center"/>
        </w:trPr>
        <w:tc>
          <w:tcPr>
            <w:tcW w:w="1389"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top w:val="nil"/>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YKT6</w:t>
            </w:r>
          </w:p>
        </w:tc>
        <w:tc>
          <w:tcPr>
            <w:tcW w:w="4267" w:type="dxa"/>
            <w:tcBorders>
              <w:top w:val="nil"/>
              <w:left w:val="nil"/>
              <w:bottom w:val="nil"/>
              <w:right w:val="nil"/>
            </w:tcBorders>
          </w:tcPr>
          <w:p w:rsidR="00FD1E7C" w:rsidRPr="00D96D61" w:rsidRDefault="00FD1E7C" w:rsidP="00BC5B08">
            <w:pPr>
              <w:spacing w:line="480" w:lineRule="auto"/>
              <w:rPr>
                <w:rFonts w:ascii="Calibri" w:hAnsi="Calibri"/>
                <w:lang w:val="sv-SE" w:eastAsia="en-US"/>
              </w:rPr>
            </w:pPr>
            <w:r w:rsidRPr="00D96D61">
              <w:rPr>
                <w:rFonts w:ascii="Calibri" w:hAnsi="Calibri"/>
                <w:lang w:val="sv-SE" w:eastAsia="en-US"/>
              </w:rPr>
              <w:t>YKT6 V-SNARE Homolog (S. Cerevisiae)</w:t>
            </w:r>
          </w:p>
          <w:p w:rsidR="00FD1E7C" w:rsidRPr="00D96D61" w:rsidRDefault="00FD1E7C" w:rsidP="00BC5B08">
            <w:pPr>
              <w:spacing w:line="480" w:lineRule="auto"/>
              <w:rPr>
                <w:rFonts w:ascii="Calibri" w:hAnsi="Calibri"/>
                <w:lang w:val="sv-SE" w:eastAsia="en-US"/>
              </w:rPr>
            </w:pPr>
          </w:p>
        </w:tc>
        <w:tc>
          <w:tcPr>
            <w:tcW w:w="1862"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0.56 ± 0.08</w:t>
            </w:r>
          </w:p>
        </w:tc>
      </w:tr>
      <w:tr w:rsidR="00FD1E7C" w:rsidRPr="007F6011" w:rsidTr="00787B7B">
        <w:trPr>
          <w:jc w:val="center"/>
        </w:trPr>
        <w:tc>
          <w:tcPr>
            <w:tcW w:w="1389" w:type="dxa"/>
            <w:vMerge/>
            <w:tcBorders>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top w:val="nil"/>
              <w:left w:val="double" w:sz="4" w:space="0" w:color="auto"/>
              <w:bottom w:val="double" w:sz="4" w:space="0" w:color="auto"/>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LOC653629</w:t>
            </w:r>
          </w:p>
        </w:tc>
        <w:tc>
          <w:tcPr>
            <w:tcW w:w="4267" w:type="dxa"/>
            <w:tcBorders>
              <w:top w:val="nil"/>
              <w:left w:val="nil"/>
              <w:bottom w:val="double" w:sz="4" w:space="0" w:color="auto"/>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uncertain function</w:t>
            </w:r>
          </w:p>
          <w:p w:rsidR="00FD1E7C" w:rsidRPr="00D96D61" w:rsidRDefault="00FD1E7C" w:rsidP="00BC5B08">
            <w:pPr>
              <w:spacing w:line="480" w:lineRule="auto"/>
              <w:rPr>
                <w:rFonts w:ascii="Calibri" w:hAnsi="Calibri"/>
                <w:lang w:val="en-US" w:eastAsia="en-US"/>
              </w:rPr>
            </w:pPr>
          </w:p>
        </w:tc>
        <w:tc>
          <w:tcPr>
            <w:tcW w:w="1862" w:type="dxa"/>
            <w:tcBorders>
              <w:top w:val="nil"/>
              <w:left w:val="nil"/>
              <w:bottom w:val="double" w:sz="4" w:space="0" w:color="auto"/>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0.51 ± 0.09</w:t>
            </w:r>
          </w:p>
        </w:tc>
      </w:tr>
      <w:tr w:rsidR="00FD1E7C" w:rsidRPr="007F6011" w:rsidTr="00787B7B">
        <w:trPr>
          <w:jc w:val="center"/>
        </w:trPr>
        <w:tc>
          <w:tcPr>
            <w:tcW w:w="1389" w:type="dxa"/>
            <w:vMerge w:val="restart"/>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 xml:space="preserve">10 </w:t>
            </w:r>
            <w:r w:rsidRPr="00D96D61">
              <w:rPr>
                <w:rFonts w:ascii="Calibri" w:hAnsi="Calibri" w:cs="Calibri"/>
                <w:b/>
                <w:lang w:val="en-US" w:eastAsia="en-US"/>
              </w:rPr>
              <w:t>µ</w:t>
            </w:r>
            <w:r w:rsidRPr="00D96D61">
              <w:rPr>
                <w:rFonts w:ascii="Calibri" w:hAnsi="Calibri"/>
                <w:b/>
                <w:lang w:val="en-US" w:eastAsia="en-US"/>
              </w:rPr>
              <w:t>M</w:t>
            </w:r>
          </w:p>
        </w:tc>
        <w:tc>
          <w:tcPr>
            <w:tcW w:w="823" w:type="dxa"/>
            <w:vMerge w:val="restart"/>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24 h</w:t>
            </w:r>
          </w:p>
        </w:tc>
        <w:tc>
          <w:tcPr>
            <w:tcW w:w="1865" w:type="dxa"/>
            <w:tcBorders>
              <w:top w:val="double" w:sz="4" w:space="0" w:color="auto"/>
              <w:left w:val="double" w:sz="4" w:space="0" w:color="auto"/>
              <w:bottom w:val="nil"/>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NEK7</w:t>
            </w:r>
          </w:p>
        </w:tc>
        <w:tc>
          <w:tcPr>
            <w:tcW w:w="4267" w:type="dxa"/>
            <w:tcBorders>
              <w:top w:val="double" w:sz="4" w:space="0" w:color="auto"/>
              <w:left w:val="nil"/>
              <w:bottom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NIMA Related Kinase 7</w:t>
            </w:r>
          </w:p>
          <w:p w:rsidR="00FD1E7C" w:rsidRPr="00D96D61" w:rsidRDefault="00FD1E7C" w:rsidP="00BC5B08">
            <w:pPr>
              <w:spacing w:line="480" w:lineRule="auto"/>
              <w:rPr>
                <w:rFonts w:ascii="Calibri" w:hAnsi="Calibri"/>
                <w:b/>
                <w:lang w:val="en-US" w:eastAsia="en-US"/>
              </w:rPr>
            </w:pPr>
          </w:p>
        </w:tc>
        <w:tc>
          <w:tcPr>
            <w:tcW w:w="1862" w:type="dxa"/>
            <w:tcBorders>
              <w:top w:val="double" w:sz="4" w:space="0" w:color="auto"/>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2.32 ± 0.76</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top w:val="nil"/>
              <w:left w:val="double" w:sz="4" w:space="0" w:color="auto"/>
              <w:bottom w:val="nil"/>
              <w:right w:val="nil"/>
            </w:tcBorders>
          </w:tcPr>
          <w:p w:rsidR="00FD1E7C" w:rsidRPr="00D96D61" w:rsidRDefault="00FD1E7C" w:rsidP="00BC5B08">
            <w:pPr>
              <w:spacing w:line="480" w:lineRule="auto"/>
              <w:rPr>
                <w:rFonts w:ascii="Calibri" w:hAnsi="Calibri"/>
                <w:b/>
                <w:i/>
                <w:u w:val="single"/>
                <w:lang w:eastAsia="en-US"/>
              </w:rPr>
            </w:pPr>
            <w:r w:rsidRPr="00D96D61">
              <w:rPr>
                <w:rFonts w:ascii="Calibri" w:hAnsi="Calibri"/>
                <w:b/>
                <w:i/>
                <w:u w:val="single"/>
                <w:lang w:eastAsia="en-US"/>
              </w:rPr>
              <w:t>SOCS6</w:t>
            </w:r>
          </w:p>
        </w:tc>
        <w:tc>
          <w:tcPr>
            <w:tcW w:w="4267" w:type="dxa"/>
            <w:tcBorders>
              <w:top w:val="nil"/>
              <w:left w:val="nil"/>
              <w:bottom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Suppressor Of Cytokine Signaling 6</w:t>
            </w:r>
          </w:p>
          <w:p w:rsidR="00FD1E7C" w:rsidRPr="00D96D61" w:rsidRDefault="00FD1E7C" w:rsidP="00BC5B08">
            <w:pPr>
              <w:spacing w:line="480" w:lineRule="auto"/>
              <w:rPr>
                <w:rFonts w:ascii="Calibri" w:hAnsi="Calibri"/>
                <w:b/>
                <w:lang w:val="en-US" w:eastAsia="en-US"/>
              </w:rPr>
            </w:pPr>
          </w:p>
        </w:tc>
        <w:tc>
          <w:tcPr>
            <w:tcW w:w="1862"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2.15 ± 0.55</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top w:val="nil"/>
              <w:left w:val="double" w:sz="4" w:space="0" w:color="auto"/>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UBXN7</w:t>
            </w:r>
          </w:p>
        </w:tc>
        <w:tc>
          <w:tcPr>
            <w:tcW w:w="4267" w:type="dxa"/>
            <w:tcBorders>
              <w:top w:val="nil"/>
              <w:left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UBX Domain Protein 7</w:t>
            </w:r>
          </w:p>
          <w:p w:rsidR="00FD1E7C" w:rsidRPr="00D96D61" w:rsidRDefault="00FD1E7C" w:rsidP="00BC5B08">
            <w:pPr>
              <w:spacing w:line="480" w:lineRule="auto"/>
              <w:rPr>
                <w:rFonts w:ascii="Calibri" w:hAnsi="Calibri"/>
                <w:b/>
                <w:lang w:val="en-US" w:eastAsia="en-US"/>
              </w:rPr>
            </w:pPr>
          </w:p>
        </w:tc>
        <w:tc>
          <w:tcPr>
            <w:tcW w:w="1862" w:type="dxa"/>
            <w:tcBorders>
              <w:top w:val="nil"/>
              <w:left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1.92 ± 0.56</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left w:val="double" w:sz="4" w:space="0" w:color="auto"/>
              <w:bottom w:val="nil"/>
              <w:right w:val="nil"/>
            </w:tcBorders>
          </w:tcPr>
          <w:p w:rsidR="00FD1E7C" w:rsidRPr="00D96D61" w:rsidRDefault="00FD1E7C" w:rsidP="00BC5B08">
            <w:pPr>
              <w:spacing w:line="480" w:lineRule="auto"/>
              <w:rPr>
                <w:rFonts w:ascii="Calibri" w:hAnsi="Calibri"/>
                <w:i/>
                <w:u w:val="single"/>
                <w:lang w:eastAsia="en-US"/>
              </w:rPr>
            </w:pPr>
            <w:r w:rsidRPr="00D96D61">
              <w:rPr>
                <w:rFonts w:ascii="Calibri" w:hAnsi="Calibri"/>
                <w:i/>
                <w:u w:val="single"/>
                <w:lang w:eastAsia="en-US"/>
              </w:rPr>
              <w:t>SYMPK</w:t>
            </w:r>
          </w:p>
        </w:tc>
        <w:tc>
          <w:tcPr>
            <w:tcW w:w="4267" w:type="dxa"/>
            <w:tcBorders>
              <w:left w:val="nil"/>
              <w:bottom w:val="nil"/>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Symplekin </w:t>
            </w:r>
          </w:p>
          <w:p w:rsidR="00FD1E7C" w:rsidRPr="00D96D61" w:rsidRDefault="00FD1E7C" w:rsidP="00BC5B08">
            <w:pPr>
              <w:spacing w:line="480" w:lineRule="auto"/>
              <w:rPr>
                <w:rFonts w:ascii="Calibri" w:hAnsi="Calibri"/>
                <w:lang w:val="en-US" w:eastAsia="en-US"/>
              </w:rPr>
            </w:pPr>
          </w:p>
        </w:tc>
        <w:tc>
          <w:tcPr>
            <w:tcW w:w="1862" w:type="dxa"/>
            <w:tcBorders>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0.54 ± 0.06</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top w:val="nil"/>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LOC651881</w:t>
            </w:r>
          </w:p>
        </w:tc>
        <w:tc>
          <w:tcPr>
            <w:tcW w:w="4267" w:type="dxa"/>
            <w:tcBorders>
              <w:top w:val="nil"/>
              <w:left w:val="nil"/>
              <w:bottom w:val="nil"/>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uncertain function</w:t>
            </w:r>
          </w:p>
          <w:p w:rsidR="00FD1E7C" w:rsidRPr="00D96D61" w:rsidRDefault="00FD1E7C" w:rsidP="00BC5B08">
            <w:pPr>
              <w:spacing w:line="480" w:lineRule="auto"/>
              <w:rPr>
                <w:rFonts w:ascii="Calibri" w:hAnsi="Calibri"/>
                <w:lang w:val="en-US" w:eastAsia="en-US"/>
              </w:rPr>
            </w:pPr>
          </w:p>
        </w:tc>
        <w:tc>
          <w:tcPr>
            <w:tcW w:w="1862"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0.53 ± 0.03</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865" w:type="dxa"/>
            <w:tcBorders>
              <w:top w:val="nil"/>
              <w:left w:val="double" w:sz="4" w:space="0" w:color="auto"/>
              <w:bottom w:val="double" w:sz="4" w:space="0" w:color="auto"/>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ZNF579</w:t>
            </w:r>
          </w:p>
        </w:tc>
        <w:tc>
          <w:tcPr>
            <w:tcW w:w="4267" w:type="dxa"/>
            <w:tcBorders>
              <w:top w:val="nil"/>
              <w:left w:val="nil"/>
              <w:bottom w:val="double" w:sz="4" w:space="0" w:color="auto"/>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Zinc Finger Protein 579</w:t>
            </w:r>
          </w:p>
          <w:p w:rsidR="00FD1E7C" w:rsidRPr="00D96D61" w:rsidRDefault="00FD1E7C" w:rsidP="00BC5B08">
            <w:pPr>
              <w:spacing w:line="480" w:lineRule="auto"/>
              <w:rPr>
                <w:rFonts w:ascii="Calibri" w:hAnsi="Calibri"/>
                <w:lang w:val="en-US" w:eastAsia="en-US"/>
              </w:rPr>
            </w:pPr>
          </w:p>
        </w:tc>
        <w:tc>
          <w:tcPr>
            <w:tcW w:w="1862" w:type="dxa"/>
            <w:tcBorders>
              <w:top w:val="nil"/>
              <w:left w:val="nil"/>
              <w:bottom w:val="double" w:sz="4" w:space="0" w:color="auto"/>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0.52 ± 0.00</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23" w:type="dxa"/>
            <w:vMerge w:val="restart"/>
            <w:tcBorders>
              <w:top w:val="nil"/>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48 h</w:t>
            </w:r>
          </w:p>
        </w:tc>
        <w:tc>
          <w:tcPr>
            <w:tcW w:w="1865" w:type="dxa"/>
            <w:tcBorders>
              <w:top w:val="double" w:sz="4" w:space="0" w:color="auto"/>
              <w:left w:val="double" w:sz="4" w:space="0" w:color="auto"/>
              <w:bottom w:val="nil"/>
              <w:right w:val="nil"/>
            </w:tcBorders>
          </w:tcPr>
          <w:p w:rsidR="00FD1E7C" w:rsidRPr="00D96D61" w:rsidRDefault="00FD1E7C" w:rsidP="00BC5B08">
            <w:pPr>
              <w:spacing w:line="480" w:lineRule="auto"/>
              <w:rPr>
                <w:rFonts w:ascii="Calibri" w:hAnsi="Calibri"/>
                <w:b/>
                <w:i/>
                <w:u w:val="single"/>
                <w:lang w:eastAsia="en-US"/>
              </w:rPr>
            </w:pPr>
            <w:r w:rsidRPr="00D96D61">
              <w:rPr>
                <w:rFonts w:ascii="Calibri" w:hAnsi="Calibri"/>
                <w:b/>
                <w:i/>
                <w:u w:val="single"/>
                <w:lang w:eastAsia="en-US"/>
              </w:rPr>
              <w:t>PLEKHF2</w:t>
            </w:r>
          </w:p>
        </w:tc>
        <w:tc>
          <w:tcPr>
            <w:tcW w:w="4267" w:type="dxa"/>
            <w:tcBorders>
              <w:top w:val="double" w:sz="4" w:space="0" w:color="auto"/>
              <w:left w:val="nil"/>
              <w:bottom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Pleckstrin Homology And FYVE Domain Containing 2</w:t>
            </w:r>
          </w:p>
        </w:tc>
        <w:tc>
          <w:tcPr>
            <w:tcW w:w="1862" w:type="dxa"/>
            <w:tcBorders>
              <w:top w:val="double" w:sz="4" w:space="0" w:color="auto"/>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2.30 ± 0.67</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top w:val="nil"/>
              <w:left w:val="double" w:sz="4" w:space="0" w:color="auto"/>
              <w:bottom w:val="nil"/>
              <w:right w:val="nil"/>
            </w:tcBorders>
          </w:tcPr>
          <w:p w:rsidR="00FD1E7C" w:rsidRPr="00D96D61" w:rsidRDefault="00FD1E7C" w:rsidP="00BC5B08">
            <w:pPr>
              <w:spacing w:line="480" w:lineRule="auto"/>
              <w:rPr>
                <w:rFonts w:ascii="Calibri" w:hAnsi="Calibri"/>
                <w:b/>
                <w:i/>
                <w:u w:val="single"/>
                <w:lang w:eastAsia="en-US"/>
              </w:rPr>
            </w:pPr>
            <w:r w:rsidRPr="00D96D61">
              <w:rPr>
                <w:rFonts w:ascii="Calibri" w:hAnsi="Calibri"/>
                <w:b/>
                <w:i/>
                <w:u w:val="single"/>
                <w:lang w:eastAsia="en-US"/>
              </w:rPr>
              <w:t>LOC730167</w:t>
            </w:r>
          </w:p>
        </w:tc>
        <w:tc>
          <w:tcPr>
            <w:tcW w:w="4267" w:type="dxa"/>
            <w:tcBorders>
              <w:top w:val="nil"/>
              <w:left w:val="nil"/>
              <w:bottom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uncertain function</w:t>
            </w:r>
          </w:p>
          <w:p w:rsidR="00FD1E7C" w:rsidRPr="00D96D61" w:rsidRDefault="00FD1E7C" w:rsidP="00BC5B08">
            <w:pPr>
              <w:spacing w:line="480" w:lineRule="auto"/>
              <w:rPr>
                <w:rFonts w:ascii="Calibri" w:hAnsi="Calibri"/>
                <w:b/>
                <w:lang w:val="en-US" w:eastAsia="en-US"/>
              </w:rPr>
            </w:pPr>
          </w:p>
        </w:tc>
        <w:tc>
          <w:tcPr>
            <w:tcW w:w="1862"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2.15 ± 0.12</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top w:val="nil"/>
              <w:left w:val="double" w:sz="4" w:space="0" w:color="auto"/>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LOC653803</w:t>
            </w:r>
          </w:p>
        </w:tc>
        <w:tc>
          <w:tcPr>
            <w:tcW w:w="4267" w:type="dxa"/>
            <w:tcBorders>
              <w:top w:val="nil"/>
              <w:left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uncertain function</w:t>
            </w:r>
          </w:p>
          <w:p w:rsidR="00FD1E7C" w:rsidRPr="00D96D61" w:rsidRDefault="00FD1E7C" w:rsidP="00BC5B08">
            <w:pPr>
              <w:spacing w:line="480" w:lineRule="auto"/>
              <w:rPr>
                <w:rFonts w:ascii="Calibri" w:hAnsi="Calibri"/>
                <w:b/>
                <w:lang w:val="en-US" w:eastAsia="en-US"/>
              </w:rPr>
            </w:pPr>
          </w:p>
        </w:tc>
        <w:tc>
          <w:tcPr>
            <w:tcW w:w="1862" w:type="dxa"/>
            <w:tcBorders>
              <w:top w:val="nil"/>
              <w:left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1.92 ± 0.22</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METT10D</w:t>
            </w:r>
          </w:p>
        </w:tc>
        <w:tc>
          <w:tcPr>
            <w:tcW w:w="4267" w:type="dxa"/>
            <w:tcBorders>
              <w:left w:val="nil"/>
              <w:bottom w:val="nil"/>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Methyltransferase 10 Domain-Containing Protein</w:t>
            </w:r>
          </w:p>
          <w:p w:rsidR="00FD1E7C" w:rsidRPr="00D96D61" w:rsidRDefault="00FD1E7C" w:rsidP="00BC5B08">
            <w:pPr>
              <w:spacing w:line="480" w:lineRule="auto"/>
              <w:rPr>
                <w:rFonts w:ascii="Calibri" w:hAnsi="Calibri"/>
                <w:lang w:val="en-US" w:eastAsia="en-US"/>
              </w:rPr>
            </w:pPr>
          </w:p>
        </w:tc>
        <w:tc>
          <w:tcPr>
            <w:tcW w:w="1862" w:type="dxa"/>
            <w:tcBorders>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0.56 ± 0.03</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top w:val="nil"/>
              <w:left w:val="double" w:sz="4" w:space="0" w:color="auto"/>
              <w:bottom w:val="nil"/>
              <w:right w:val="nil"/>
            </w:tcBorders>
          </w:tcPr>
          <w:p w:rsidR="00FD1E7C" w:rsidRPr="00D96D61" w:rsidRDefault="00FD1E7C" w:rsidP="00BC5B08">
            <w:pPr>
              <w:spacing w:line="480" w:lineRule="auto"/>
              <w:rPr>
                <w:rFonts w:ascii="Calibri" w:hAnsi="Calibri"/>
                <w:i/>
                <w:u w:val="single"/>
                <w:lang w:eastAsia="en-US"/>
              </w:rPr>
            </w:pPr>
            <w:r w:rsidRPr="00D96D61">
              <w:rPr>
                <w:rFonts w:ascii="Calibri" w:hAnsi="Calibri"/>
                <w:i/>
                <w:u w:val="single"/>
                <w:lang w:eastAsia="en-US"/>
              </w:rPr>
              <w:t>SYMPK</w:t>
            </w:r>
          </w:p>
        </w:tc>
        <w:tc>
          <w:tcPr>
            <w:tcW w:w="4267" w:type="dxa"/>
            <w:tcBorders>
              <w:top w:val="nil"/>
              <w:left w:val="nil"/>
              <w:bottom w:val="nil"/>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Symplekin </w:t>
            </w:r>
          </w:p>
          <w:p w:rsidR="00FD1E7C" w:rsidRPr="00D96D61" w:rsidRDefault="00FD1E7C" w:rsidP="00BC5B08">
            <w:pPr>
              <w:spacing w:line="480" w:lineRule="auto"/>
              <w:rPr>
                <w:rFonts w:ascii="Calibri" w:hAnsi="Calibri"/>
                <w:lang w:val="en-US" w:eastAsia="en-US"/>
              </w:rPr>
            </w:pPr>
          </w:p>
        </w:tc>
        <w:tc>
          <w:tcPr>
            <w:tcW w:w="1862"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0.56 ± 0.10</w:t>
            </w:r>
          </w:p>
        </w:tc>
      </w:tr>
      <w:tr w:rsidR="00FD1E7C" w:rsidRPr="007F6011" w:rsidTr="00787B7B">
        <w:trPr>
          <w:jc w:val="center"/>
        </w:trPr>
        <w:tc>
          <w:tcPr>
            <w:tcW w:w="1389"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23" w:type="dxa"/>
            <w:vMerge/>
            <w:tcBorders>
              <w:top w:val="nil"/>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865" w:type="dxa"/>
            <w:tcBorders>
              <w:top w:val="nil"/>
              <w:left w:val="double" w:sz="4" w:space="0" w:color="auto"/>
              <w:bottom w:val="double" w:sz="4" w:space="0" w:color="auto"/>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TMEM63B</w:t>
            </w:r>
          </w:p>
        </w:tc>
        <w:tc>
          <w:tcPr>
            <w:tcW w:w="4267" w:type="dxa"/>
            <w:tcBorders>
              <w:top w:val="nil"/>
              <w:left w:val="nil"/>
              <w:bottom w:val="double" w:sz="4" w:space="0" w:color="auto"/>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Transmembrane Protein 63B</w:t>
            </w:r>
          </w:p>
          <w:p w:rsidR="00FD1E7C" w:rsidRPr="00D96D61" w:rsidRDefault="00FD1E7C" w:rsidP="00BC5B08">
            <w:pPr>
              <w:spacing w:line="480" w:lineRule="auto"/>
              <w:rPr>
                <w:rFonts w:ascii="Calibri" w:hAnsi="Calibri"/>
                <w:lang w:val="en-US" w:eastAsia="en-US"/>
              </w:rPr>
            </w:pPr>
          </w:p>
        </w:tc>
        <w:tc>
          <w:tcPr>
            <w:tcW w:w="1862" w:type="dxa"/>
            <w:tcBorders>
              <w:top w:val="nil"/>
              <w:left w:val="nil"/>
              <w:bottom w:val="double" w:sz="4" w:space="0" w:color="auto"/>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0.48 ± 0.07</w:t>
            </w:r>
          </w:p>
        </w:tc>
      </w:tr>
    </w:tbl>
    <w:p w:rsidR="00692A6E" w:rsidRDefault="00692A6E" w:rsidP="00FB55D2">
      <w:pPr>
        <w:spacing w:line="480" w:lineRule="auto"/>
        <w:rPr>
          <w:color w:val="FF0000"/>
          <w:lang w:val="en-US"/>
        </w:rPr>
      </w:pPr>
    </w:p>
    <w:p w:rsidR="00FD1E7C" w:rsidRDefault="00322427" w:rsidP="00FB55D2">
      <w:pPr>
        <w:spacing w:line="480" w:lineRule="auto"/>
        <w:rPr>
          <w:lang w:val="en-US"/>
        </w:rPr>
      </w:pPr>
      <w:r>
        <w:rPr>
          <w:lang w:val="en-US"/>
        </w:rPr>
        <w:t>Tab.</w:t>
      </w:r>
      <w:r w:rsidR="00B719C0">
        <w:rPr>
          <w:lang w:val="en-US"/>
        </w:rPr>
        <w:t xml:space="preserve"> d</w:t>
      </w:r>
      <w:r w:rsidR="00787B7B" w:rsidRPr="000F35AB">
        <w:rPr>
          <w:lang w:val="en-US"/>
        </w:rPr>
        <w:t xml:space="preserve"> Selected genes with the most changed expression profile (3 most up- and down-regulated) after 24- and 48 h treatment with nimesulide. The symbols </w:t>
      </w:r>
      <w:r w:rsidR="00787B7B" w:rsidRPr="00CD3AE7">
        <w:rPr>
          <w:lang w:val="en-US"/>
        </w:rPr>
        <w:t>of genes that were up-regulat</w:t>
      </w:r>
      <w:r w:rsidR="00787B7B">
        <w:rPr>
          <w:lang w:val="en-US"/>
        </w:rPr>
        <w:t>ed are bolded and genes present</w:t>
      </w:r>
      <w:r w:rsidR="00787B7B" w:rsidRPr="00CD3AE7">
        <w:rPr>
          <w:lang w:val="en-US"/>
        </w:rPr>
        <w:t xml:space="preserve"> in more than one conditi</w:t>
      </w:r>
      <w:r w:rsidR="00787B7B">
        <w:rPr>
          <w:lang w:val="en-US"/>
        </w:rPr>
        <w:t xml:space="preserve">ons are </w:t>
      </w:r>
      <w:r w:rsidR="00787B7B" w:rsidRPr="00CD3AE7">
        <w:rPr>
          <w:lang w:val="en-US"/>
        </w:rPr>
        <w:t>underlined.</w:t>
      </w:r>
    </w:p>
    <w:p w:rsidR="00692A6E" w:rsidRDefault="00692A6E" w:rsidP="00FB55D2">
      <w:pPr>
        <w:spacing w:line="480" w:lineRule="auto"/>
        <w:rPr>
          <w:lang w:val="en-US"/>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808"/>
        <w:gridCol w:w="1757"/>
        <w:gridCol w:w="3540"/>
        <w:gridCol w:w="2350"/>
      </w:tblGrid>
      <w:tr w:rsidR="00FD1E7C" w:rsidRPr="006C43FA" w:rsidTr="00BC5B08">
        <w:trPr>
          <w:jc w:val="center"/>
        </w:trPr>
        <w:tc>
          <w:tcPr>
            <w:tcW w:w="2544" w:type="dxa"/>
            <w:gridSpan w:val="2"/>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Conditions</w:t>
            </w:r>
          </w:p>
        </w:tc>
        <w:tc>
          <w:tcPr>
            <w:tcW w:w="1757" w:type="dxa"/>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Gene</w:t>
            </w:r>
            <w:r>
              <w:rPr>
                <w:rFonts w:ascii="Calibri" w:hAnsi="Calibri"/>
                <w:b/>
                <w:lang w:val="en-US" w:eastAsia="en-US"/>
              </w:rPr>
              <w:t>/Locus</w:t>
            </w:r>
          </w:p>
        </w:tc>
        <w:tc>
          <w:tcPr>
            <w:tcW w:w="3540" w:type="dxa"/>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Description</w:t>
            </w:r>
          </w:p>
        </w:tc>
        <w:tc>
          <w:tcPr>
            <w:tcW w:w="2350" w:type="dxa"/>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jc w:val="center"/>
              <w:rPr>
                <w:rFonts w:ascii="Calibri" w:hAnsi="Calibri"/>
                <w:b/>
                <w:lang w:val="en-US" w:eastAsia="en-US"/>
              </w:rPr>
            </w:pPr>
            <w:r w:rsidRPr="00D96D61">
              <w:rPr>
                <w:rFonts w:ascii="Calibri" w:hAnsi="Calibri"/>
                <w:b/>
                <w:lang w:val="en-US" w:eastAsia="en-US"/>
              </w:rPr>
              <w:t xml:space="preserve">Fold change  </w:t>
            </w:r>
          </w:p>
          <w:p w:rsidR="00FD1E7C" w:rsidRPr="00D96D61" w:rsidRDefault="00FD1E7C" w:rsidP="00BC5B08">
            <w:pPr>
              <w:spacing w:line="480" w:lineRule="auto"/>
              <w:jc w:val="center"/>
              <w:rPr>
                <w:rFonts w:ascii="Calibri" w:hAnsi="Calibri"/>
                <w:b/>
                <w:lang w:val="en-US" w:eastAsia="en-US"/>
              </w:rPr>
            </w:pPr>
            <w:r w:rsidRPr="000F35AB">
              <w:rPr>
                <w:rFonts w:ascii="Calibri" w:hAnsi="Calibri"/>
                <w:b/>
                <w:lang w:val="en-US" w:eastAsia="en-US"/>
              </w:rPr>
              <w:t>± S</w:t>
            </w:r>
            <w:r w:rsidR="009728DA" w:rsidRPr="000F35AB">
              <w:rPr>
                <w:rFonts w:ascii="Calibri" w:hAnsi="Calibri"/>
                <w:b/>
                <w:lang w:val="en-US" w:eastAsia="en-US"/>
              </w:rPr>
              <w:t>.</w:t>
            </w:r>
            <w:r w:rsidRPr="000F35AB">
              <w:rPr>
                <w:rFonts w:ascii="Calibri" w:hAnsi="Calibri"/>
                <w:b/>
                <w:lang w:val="en-US" w:eastAsia="en-US"/>
              </w:rPr>
              <w:t>D</w:t>
            </w:r>
            <w:r w:rsidR="009728DA" w:rsidRPr="000F35AB">
              <w:rPr>
                <w:rFonts w:ascii="Calibri" w:hAnsi="Calibri"/>
                <w:b/>
                <w:lang w:val="en-US" w:eastAsia="en-US"/>
              </w:rPr>
              <w:t>.</w:t>
            </w:r>
          </w:p>
        </w:tc>
      </w:tr>
      <w:tr w:rsidR="00FD1E7C" w:rsidRPr="006C43FA" w:rsidTr="00BC5B08">
        <w:trPr>
          <w:jc w:val="center"/>
        </w:trPr>
        <w:tc>
          <w:tcPr>
            <w:tcW w:w="1736" w:type="dxa"/>
            <w:vMerge w:val="restart"/>
            <w:tcBorders>
              <w:top w:val="double" w:sz="4" w:space="0" w:color="auto"/>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 xml:space="preserve">5 </w:t>
            </w:r>
            <w:r w:rsidRPr="00D96D61">
              <w:rPr>
                <w:rFonts w:ascii="Calibri" w:hAnsi="Calibri" w:cs="Calibri"/>
                <w:b/>
                <w:lang w:val="en-US" w:eastAsia="en-US"/>
              </w:rPr>
              <w:t>µ</w:t>
            </w:r>
            <w:r w:rsidRPr="00D96D61">
              <w:rPr>
                <w:rFonts w:ascii="Calibri" w:hAnsi="Calibri"/>
                <w:b/>
                <w:lang w:val="en-US" w:eastAsia="en-US"/>
              </w:rPr>
              <w:t>M</w:t>
            </w:r>
          </w:p>
        </w:tc>
        <w:tc>
          <w:tcPr>
            <w:tcW w:w="808" w:type="dxa"/>
            <w:vMerge w:val="restart"/>
            <w:tcBorders>
              <w:top w:val="double" w:sz="4" w:space="0" w:color="auto"/>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24 h</w:t>
            </w:r>
          </w:p>
        </w:tc>
        <w:tc>
          <w:tcPr>
            <w:tcW w:w="1757" w:type="dxa"/>
            <w:tcBorders>
              <w:top w:val="double" w:sz="4" w:space="0" w:color="auto"/>
              <w:left w:val="double" w:sz="4" w:space="0" w:color="auto"/>
              <w:bottom w:val="nil"/>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SACS</w:t>
            </w:r>
          </w:p>
        </w:tc>
        <w:tc>
          <w:tcPr>
            <w:tcW w:w="3540" w:type="dxa"/>
            <w:tcBorders>
              <w:top w:val="double" w:sz="4" w:space="0" w:color="auto"/>
              <w:left w:val="nil"/>
              <w:bottom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Sacsin Molecular Chaperone</w:t>
            </w:r>
          </w:p>
          <w:p w:rsidR="00FD1E7C" w:rsidRPr="00D96D61" w:rsidRDefault="00FD1E7C" w:rsidP="00BC5B08">
            <w:pPr>
              <w:spacing w:line="480" w:lineRule="auto"/>
              <w:rPr>
                <w:rFonts w:ascii="Calibri" w:hAnsi="Calibri"/>
                <w:b/>
                <w:lang w:val="en-US" w:eastAsia="en-US"/>
              </w:rPr>
            </w:pPr>
          </w:p>
        </w:tc>
        <w:tc>
          <w:tcPr>
            <w:tcW w:w="2350" w:type="dxa"/>
            <w:tcBorders>
              <w:top w:val="double" w:sz="4" w:space="0" w:color="auto"/>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2.05 ± 0.13</w:t>
            </w:r>
          </w:p>
        </w:tc>
      </w:tr>
      <w:tr w:rsidR="00FD1E7C" w:rsidRPr="006C43FA" w:rsidTr="00BC5B08">
        <w:trPr>
          <w:jc w:val="center"/>
        </w:trPr>
        <w:tc>
          <w:tcPr>
            <w:tcW w:w="1736"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top w:val="nil"/>
              <w:left w:val="double" w:sz="4" w:space="0" w:color="auto"/>
              <w:bottom w:val="nil"/>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PTGER4</w:t>
            </w:r>
          </w:p>
        </w:tc>
        <w:tc>
          <w:tcPr>
            <w:tcW w:w="3540" w:type="dxa"/>
            <w:tcBorders>
              <w:top w:val="nil"/>
              <w:left w:val="nil"/>
              <w:bottom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Prostaglandin E Receptor 4</w:t>
            </w:r>
          </w:p>
          <w:p w:rsidR="00FD1E7C" w:rsidRPr="00D96D61" w:rsidRDefault="00FD1E7C" w:rsidP="00BC5B08">
            <w:pPr>
              <w:spacing w:line="480" w:lineRule="auto"/>
              <w:rPr>
                <w:rFonts w:ascii="Calibri" w:hAnsi="Calibri"/>
                <w:b/>
                <w:lang w:val="en-US" w:eastAsia="en-US"/>
              </w:rPr>
            </w:pPr>
          </w:p>
        </w:tc>
        <w:tc>
          <w:tcPr>
            <w:tcW w:w="2350"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1.94 ± 0.10</w:t>
            </w:r>
          </w:p>
        </w:tc>
      </w:tr>
      <w:tr w:rsidR="00FD1E7C" w:rsidRPr="006C43FA" w:rsidTr="00BC5B08">
        <w:trPr>
          <w:jc w:val="center"/>
        </w:trPr>
        <w:tc>
          <w:tcPr>
            <w:tcW w:w="1736"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top w:val="nil"/>
              <w:left w:val="double" w:sz="4" w:space="0" w:color="auto"/>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SOCS6</w:t>
            </w:r>
          </w:p>
        </w:tc>
        <w:tc>
          <w:tcPr>
            <w:tcW w:w="3540" w:type="dxa"/>
            <w:tcBorders>
              <w:top w:val="nil"/>
              <w:left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Suppressor Of Cytokine Signaling 6</w:t>
            </w:r>
          </w:p>
          <w:p w:rsidR="00FD1E7C" w:rsidRPr="00D96D61" w:rsidRDefault="00FD1E7C" w:rsidP="00BC5B08">
            <w:pPr>
              <w:spacing w:line="480" w:lineRule="auto"/>
              <w:rPr>
                <w:rFonts w:ascii="Calibri" w:hAnsi="Calibri"/>
                <w:b/>
                <w:lang w:val="en-US" w:eastAsia="en-US"/>
              </w:rPr>
            </w:pPr>
          </w:p>
        </w:tc>
        <w:tc>
          <w:tcPr>
            <w:tcW w:w="2350" w:type="dxa"/>
            <w:tcBorders>
              <w:top w:val="nil"/>
              <w:left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1.76 ± 0.13</w:t>
            </w:r>
          </w:p>
        </w:tc>
      </w:tr>
      <w:tr w:rsidR="00FD1E7C" w:rsidRPr="006C43FA" w:rsidTr="00BC5B08">
        <w:trPr>
          <w:jc w:val="center"/>
        </w:trPr>
        <w:tc>
          <w:tcPr>
            <w:tcW w:w="1736"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SNORD25</w:t>
            </w:r>
          </w:p>
        </w:tc>
        <w:tc>
          <w:tcPr>
            <w:tcW w:w="3540" w:type="dxa"/>
            <w:tcBorders>
              <w:left w:val="nil"/>
              <w:bottom w:val="nil"/>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Small Nucleolar RNA, C/D Box 25</w:t>
            </w:r>
          </w:p>
          <w:p w:rsidR="00FD1E7C" w:rsidRPr="00D96D61" w:rsidRDefault="00FD1E7C" w:rsidP="00BC5B08">
            <w:pPr>
              <w:spacing w:line="480" w:lineRule="auto"/>
              <w:rPr>
                <w:rFonts w:ascii="Calibri" w:hAnsi="Calibri"/>
                <w:lang w:val="en-US" w:eastAsia="en-US"/>
              </w:rPr>
            </w:pPr>
          </w:p>
        </w:tc>
        <w:tc>
          <w:tcPr>
            <w:tcW w:w="2350" w:type="dxa"/>
            <w:tcBorders>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0.57 ± 0.05</w:t>
            </w:r>
          </w:p>
        </w:tc>
      </w:tr>
      <w:tr w:rsidR="00FD1E7C" w:rsidRPr="006C43FA" w:rsidTr="00BC5B08">
        <w:trPr>
          <w:jc w:val="center"/>
        </w:trPr>
        <w:tc>
          <w:tcPr>
            <w:tcW w:w="1736"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top w:val="nil"/>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TNRC6B</w:t>
            </w:r>
          </w:p>
        </w:tc>
        <w:tc>
          <w:tcPr>
            <w:tcW w:w="3540" w:type="dxa"/>
            <w:tcBorders>
              <w:top w:val="nil"/>
              <w:left w:val="nil"/>
              <w:bottom w:val="nil"/>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Trinucleotide Repeat Containing 6B</w:t>
            </w:r>
          </w:p>
          <w:p w:rsidR="00FD1E7C" w:rsidRPr="00D96D61" w:rsidRDefault="00FD1E7C" w:rsidP="00BC5B08">
            <w:pPr>
              <w:spacing w:line="480" w:lineRule="auto"/>
              <w:rPr>
                <w:rFonts w:ascii="Calibri" w:hAnsi="Calibri"/>
                <w:lang w:val="en-US" w:eastAsia="en-US"/>
              </w:rPr>
            </w:pPr>
          </w:p>
        </w:tc>
        <w:tc>
          <w:tcPr>
            <w:tcW w:w="2350"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0.56 ± 0.26</w:t>
            </w:r>
          </w:p>
        </w:tc>
      </w:tr>
      <w:tr w:rsidR="00FD1E7C" w:rsidRPr="006C43FA" w:rsidTr="00BC5B08">
        <w:trPr>
          <w:jc w:val="center"/>
        </w:trPr>
        <w:tc>
          <w:tcPr>
            <w:tcW w:w="1736"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left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top w:val="nil"/>
              <w:left w:val="double" w:sz="4" w:space="0" w:color="auto"/>
              <w:bottom w:val="double" w:sz="4" w:space="0" w:color="auto"/>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ASAP1IT1</w:t>
            </w:r>
          </w:p>
        </w:tc>
        <w:tc>
          <w:tcPr>
            <w:tcW w:w="3540" w:type="dxa"/>
            <w:tcBorders>
              <w:top w:val="nil"/>
              <w:left w:val="nil"/>
              <w:bottom w:val="double" w:sz="4" w:space="0" w:color="auto"/>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ASAP1 Intronic Transcript 1</w:t>
            </w:r>
          </w:p>
          <w:p w:rsidR="00FD1E7C" w:rsidRPr="00D96D61" w:rsidRDefault="00FD1E7C" w:rsidP="00BC5B08">
            <w:pPr>
              <w:spacing w:line="480" w:lineRule="auto"/>
              <w:rPr>
                <w:rFonts w:ascii="Calibri" w:hAnsi="Calibri"/>
                <w:lang w:val="en-US" w:eastAsia="en-US"/>
              </w:rPr>
            </w:pPr>
          </w:p>
        </w:tc>
        <w:tc>
          <w:tcPr>
            <w:tcW w:w="2350" w:type="dxa"/>
            <w:tcBorders>
              <w:top w:val="nil"/>
              <w:left w:val="nil"/>
              <w:bottom w:val="double" w:sz="4" w:space="0" w:color="auto"/>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0.54 ± 0.27</w:t>
            </w:r>
          </w:p>
        </w:tc>
      </w:tr>
      <w:tr w:rsidR="00FD1E7C" w:rsidRPr="006C43FA" w:rsidTr="00BC5B08">
        <w:trPr>
          <w:jc w:val="center"/>
        </w:trPr>
        <w:tc>
          <w:tcPr>
            <w:tcW w:w="1736"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val="restart"/>
            <w:tcBorders>
              <w:top w:val="double" w:sz="4" w:space="0" w:color="auto"/>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48 h</w:t>
            </w:r>
          </w:p>
        </w:tc>
        <w:tc>
          <w:tcPr>
            <w:tcW w:w="1757" w:type="dxa"/>
            <w:tcBorders>
              <w:top w:val="double" w:sz="4" w:space="0" w:color="auto"/>
              <w:left w:val="double" w:sz="4" w:space="0" w:color="auto"/>
              <w:bottom w:val="nil"/>
              <w:right w:val="nil"/>
            </w:tcBorders>
          </w:tcPr>
          <w:p w:rsidR="00FD1E7C" w:rsidRPr="00D96D61" w:rsidRDefault="00FD1E7C" w:rsidP="00BC5B08">
            <w:pPr>
              <w:spacing w:line="480" w:lineRule="auto"/>
              <w:rPr>
                <w:rFonts w:ascii="Calibri" w:hAnsi="Calibri"/>
                <w:b/>
                <w:i/>
                <w:u w:val="single"/>
                <w:lang w:eastAsia="en-US"/>
              </w:rPr>
            </w:pPr>
            <w:r w:rsidRPr="00D96D61">
              <w:rPr>
                <w:rFonts w:ascii="Calibri" w:hAnsi="Calibri"/>
                <w:b/>
                <w:i/>
                <w:u w:val="single"/>
                <w:lang w:eastAsia="en-US"/>
              </w:rPr>
              <w:t>PLEKHF2</w:t>
            </w:r>
          </w:p>
        </w:tc>
        <w:tc>
          <w:tcPr>
            <w:tcW w:w="3540" w:type="dxa"/>
            <w:tcBorders>
              <w:top w:val="double" w:sz="4" w:space="0" w:color="auto"/>
              <w:left w:val="nil"/>
              <w:bottom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Pleckstrin Homology And FYVE Domain Containing 2</w:t>
            </w:r>
          </w:p>
        </w:tc>
        <w:tc>
          <w:tcPr>
            <w:tcW w:w="2350" w:type="dxa"/>
            <w:tcBorders>
              <w:top w:val="double" w:sz="4" w:space="0" w:color="auto"/>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2.07 ± 0.25</w:t>
            </w:r>
          </w:p>
        </w:tc>
      </w:tr>
      <w:tr w:rsidR="00FD1E7C" w:rsidRPr="006C43FA" w:rsidTr="00BC5B08">
        <w:trPr>
          <w:jc w:val="center"/>
        </w:trPr>
        <w:tc>
          <w:tcPr>
            <w:tcW w:w="1736"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top w:val="nil"/>
              <w:left w:val="double" w:sz="4" w:space="0" w:color="auto"/>
              <w:bottom w:val="nil"/>
              <w:right w:val="nil"/>
            </w:tcBorders>
          </w:tcPr>
          <w:p w:rsidR="00FD1E7C" w:rsidRPr="00D96D61" w:rsidRDefault="00FD1E7C" w:rsidP="00BC5B08">
            <w:pPr>
              <w:spacing w:line="480" w:lineRule="auto"/>
              <w:rPr>
                <w:rFonts w:ascii="Calibri" w:hAnsi="Calibri"/>
                <w:b/>
                <w:i/>
                <w:u w:val="single"/>
                <w:lang w:eastAsia="en-US"/>
              </w:rPr>
            </w:pPr>
            <w:r w:rsidRPr="00D96D61">
              <w:rPr>
                <w:rFonts w:ascii="Calibri" w:hAnsi="Calibri"/>
                <w:b/>
                <w:i/>
                <w:u w:val="single"/>
                <w:lang w:eastAsia="en-US"/>
              </w:rPr>
              <w:t>SPHAR</w:t>
            </w:r>
          </w:p>
        </w:tc>
        <w:tc>
          <w:tcPr>
            <w:tcW w:w="3540" w:type="dxa"/>
            <w:tcBorders>
              <w:top w:val="nil"/>
              <w:left w:val="nil"/>
              <w:bottom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S-Phase Response Protein</w:t>
            </w:r>
          </w:p>
          <w:p w:rsidR="00FD1E7C" w:rsidRPr="00D96D61" w:rsidRDefault="00FD1E7C" w:rsidP="00BC5B08">
            <w:pPr>
              <w:spacing w:line="480" w:lineRule="auto"/>
              <w:rPr>
                <w:rFonts w:ascii="Calibri" w:hAnsi="Calibri"/>
                <w:b/>
                <w:lang w:val="en-US" w:eastAsia="en-US"/>
              </w:rPr>
            </w:pPr>
          </w:p>
        </w:tc>
        <w:tc>
          <w:tcPr>
            <w:tcW w:w="2350"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1.91 ± 0.27</w:t>
            </w:r>
          </w:p>
        </w:tc>
      </w:tr>
      <w:tr w:rsidR="00FD1E7C" w:rsidRPr="006C43FA" w:rsidTr="00BC5B08">
        <w:trPr>
          <w:jc w:val="center"/>
        </w:trPr>
        <w:tc>
          <w:tcPr>
            <w:tcW w:w="1736"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top w:val="nil"/>
              <w:left w:val="double" w:sz="4" w:space="0" w:color="auto"/>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NKAP</w:t>
            </w:r>
          </w:p>
        </w:tc>
        <w:tc>
          <w:tcPr>
            <w:tcW w:w="3540" w:type="dxa"/>
            <w:tcBorders>
              <w:top w:val="nil"/>
              <w:left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NFKB Activating Protein</w:t>
            </w:r>
          </w:p>
          <w:p w:rsidR="00FD1E7C" w:rsidRPr="00D96D61" w:rsidRDefault="00FD1E7C" w:rsidP="00BC5B08">
            <w:pPr>
              <w:spacing w:line="480" w:lineRule="auto"/>
              <w:rPr>
                <w:rFonts w:ascii="Calibri" w:hAnsi="Calibri"/>
                <w:b/>
                <w:lang w:val="en-US" w:eastAsia="en-US"/>
              </w:rPr>
            </w:pPr>
          </w:p>
        </w:tc>
        <w:tc>
          <w:tcPr>
            <w:tcW w:w="2350" w:type="dxa"/>
            <w:tcBorders>
              <w:top w:val="nil"/>
              <w:left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1.73 ± 0.20</w:t>
            </w:r>
          </w:p>
        </w:tc>
      </w:tr>
      <w:tr w:rsidR="00FD1E7C" w:rsidRPr="006C43FA" w:rsidTr="00BC5B08">
        <w:trPr>
          <w:jc w:val="center"/>
        </w:trPr>
        <w:tc>
          <w:tcPr>
            <w:tcW w:w="1736"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LOC650840</w:t>
            </w:r>
          </w:p>
        </w:tc>
        <w:tc>
          <w:tcPr>
            <w:tcW w:w="3540" w:type="dxa"/>
            <w:tcBorders>
              <w:left w:val="nil"/>
              <w:bottom w:val="nil"/>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uncertain function</w:t>
            </w:r>
          </w:p>
          <w:p w:rsidR="00FD1E7C" w:rsidRPr="00D96D61" w:rsidRDefault="00FD1E7C" w:rsidP="00BC5B08">
            <w:pPr>
              <w:spacing w:line="480" w:lineRule="auto"/>
              <w:rPr>
                <w:rFonts w:ascii="Calibri" w:hAnsi="Calibri"/>
                <w:lang w:val="en-US" w:eastAsia="en-US"/>
              </w:rPr>
            </w:pPr>
          </w:p>
        </w:tc>
        <w:tc>
          <w:tcPr>
            <w:tcW w:w="2350" w:type="dxa"/>
            <w:tcBorders>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0.54 ± 0.02</w:t>
            </w:r>
          </w:p>
        </w:tc>
      </w:tr>
      <w:tr w:rsidR="00FD1E7C" w:rsidRPr="006C43FA" w:rsidTr="00BC5B08">
        <w:trPr>
          <w:jc w:val="center"/>
        </w:trPr>
        <w:tc>
          <w:tcPr>
            <w:tcW w:w="1736"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left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top w:val="nil"/>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PHACS</w:t>
            </w:r>
          </w:p>
        </w:tc>
        <w:tc>
          <w:tcPr>
            <w:tcW w:w="3540" w:type="dxa"/>
            <w:tcBorders>
              <w:top w:val="nil"/>
              <w:left w:val="nil"/>
              <w:bottom w:val="nil"/>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ACC Synthase-Like Protein 1</w:t>
            </w:r>
          </w:p>
          <w:p w:rsidR="00FD1E7C" w:rsidRPr="00D96D61" w:rsidRDefault="00FD1E7C" w:rsidP="00BC5B08">
            <w:pPr>
              <w:spacing w:line="480" w:lineRule="auto"/>
              <w:rPr>
                <w:rFonts w:ascii="Calibri" w:hAnsi="Calibri"/>
                <w:lang w:val="en-US" w:eastAsia="en-US"/>
              </w:rPr>
            </w:pPr>
          </w:p>
        </w:tc>
        <w:tc>
          <w:tcPr>
            <w:tcW w:w="2350"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0.52 ± 0.05</w:t>
            </w:r>
          </w:p>
        </w:tc>
      </w:tr>
      <w:tr w:rsidR="00FD1E7C" w:rsidRPr="006C43FA" w:rsidTr="00BC5B08">
        <w:trPr>
          <w:jc w:val="center"/>
        </w:trPr>
        <w:tc>
          <w:tcPr>
            <w:tcW w:w="1736" w:type="dxa"/>
            <w:vMerge/>
            <w:tcBorders>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top w:val="nil"/>
              <w:left w:val="double" w:sz="4" w:space="0" w:color="auto"/>
              <w:bottom w:val="double" w:sz="4" w:space="0" w:color="auto"/>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MFHAS1</w:t>
            </w:r>
          </w:p>
        </w:tc>
        <w:tc>
          <w:tcPr>
            <w:tcW w:w="3540" w:type="dxa"/>
            <w:tcBorders>
              <w:top w:val="nil"/>
              <w:left w:val="nil"/>
              <w:bottom w:val="double" w:sz="4" w:space="0" w:color="auto"/>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Malignant Fibrous Histiocytoma Amplified Sequence 1</w:t>
            </w:r>
          </w:p>
        </w:tc>
        <w:tc>
          <w:tcPr>
            <w:tcW w:w="2350" w:type="dxa"/>
            <w:tcBorders>
              <w:top w:val="nil"/>
              <w:left w:val="nil"/>
              <w:bottom w:val="double" w:sz="4" w:space="0" w:color="auto"/>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0.51 ± 0.10</w:t>
            </w:r>
          </w:p>
        </w:tc>
      </w:tr>
      <w:tr w:rsidR="00FD1E7C" w:rsidRPr="006C43FA" w:rsidTr="00BC5B08">
        <w:trPr>
          <w:jc w:val="center"/>
        </w:trPr>
        <w:tc>
          <w:tcPr>
            <w:tcW w:w="1736" w:type="dxa"/>
            <w:vMerge w:val="restart"/>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 xml:space="preserve">25 </w:t>
            </w:r>
            <w:r w:rsidRPr="00D96D61">
              <w:rPr>
                <w:rFonts w:ascii="Calibri" w:hAnsi="Calibri" w:cs="Calibri"/>
                <w:b/>
                <w:lang w:val="en-US" w:eastAsia="en-US"/>
              </w:rPr>
              <w:t>µ</w:t>
            </w:r>
            <w:r w:rsidRPr="00D96D61">
              <w:rPr>
                <w:rFonts w:ascii="Calibri" w:hAnsi="Calibri"/>
                <w:b/>
                <w:lang w:val="en-US" w:eastAsia="en-US"/>
              </w:rPr>
              <w:t>M</w:t>
            </w:r>
          </w:p>
        </w:tc>
        <w:tc>
          <w:tcPr>
            <w:tcW w:w="808" w:type="dxa"/>
            <w:vMerge w:val="restart"/>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24 h</w:t>
            </w:r>
          </w:p>
        </w:tc>
        <w:tc>
          <w:tcPr>
            <w:tcW w:w="1757" w:type="dxa"/>
            <w:tcBorders>
              <w:top w:val="double" w:sz="4" w:space="0" w:color="auto"/>
              <w:left w:val="double" w:sz="4" w:space="0" w:color="auto"/>
              <w:bottom w:val="nil"/>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TXNL1</w:t>
            </w:r>
          </w:p>
        </w:tc>
        <w:tc>
          <w:tcPr>
            <w:tcW w:w="3540" w:type="dxa"/>
            <w:tcBorders>
              <w:top w:val="double" w:sz="4" w:space="0" w:color="auto"/>
              <w:left w:val="nil"/>
              <w:bottom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Thioredoxin Like 1</w:t>
            </w:r>
          </w:p>
          <w:p w:rsidR="00FD1E7C" w:rsidRPr="00D96D61" w:rsidRDefault="00FD1E7C" w:rsidP="00BC5B08">
            <w:pPr>
              <w:spacing w:line="480" w:lineRule="auto"/>
              <w:rPr>
                <w:rFonts w:ascii="Calibri" w:hAnsi="Calibri"/>
                <w:b/>
                <w:lang w:val="en-US" w:eastAsia="en-US"/>
              </w:rPr>
            </w:pPr>
          </w:p>
        </w:tc>
        <w:tc>
          <w:tcPr>
            <w:tcW w:w="2350" w:type="dxa"/>
            <w:tcBorders>
              <w:top w:val="double" w:sz="4" w:space="0" w:color="auto"/>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2.65 ± 0.47</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top w:val="nil"/>
              <w:left w:val="double" w:sz="4" w:space="0" w:color="auto"/>
              <w:bottom w:val="nil"/>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LOC653631</w:t>
            </w:r>
          </w:p>
        </w:tc>
        <w:tc>
          <w:tcPr>
            <w:tcW w:w="3540" w:type="dxa"/>
            <w:tcBorders>
              <w:top w:val="nil"/>
              <w:left w:val="nil"/>
              <w:bottom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uncertain function</w:t>
            </w:r>
          </w:p>
          <w:p w:rsidR="00FD1E7C" w:rsidRPr="00D96D61" w:rsidRDefault="00FD1E7C" w:rsidP="00BC5B08">
            <w:pPr>
              <w:spacing w:line="480" w:lineRule="auto"/>
              <w:rPr>
                <w:rFonts w:ascii="Calibri" w:hAnsi="Calibri"/>
                <w:b/>
                <w:lang w:val="en-US" w:eastAsia="en-US"/>
              </w:rPr>
            </w:pPr>
          </w:p>
        </w:tc>
        <w:tc>
          <w:tcPr>
            <w:tcW w:w="2350"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2.51 ± 0.77</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top w:val="nil"/>
              <w:left w:val="double" w:sz="4" w:space="0" w:color="auto"/>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SBDS</w:t>
            </w:r>
          </w:p>
        </w:tc>
        <w:tc>
          <w:tcPr>
            <w:tcW w:w="3540" w:type="dxa"/>
            <w:tcBorders>
              <w:top w:val="nil"/>
              <w:left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SBDS Ribosome Assembly Guanine Nucleotide Exchange Factor</w:t>
            </w:r>
          </w:p>
        </w:tc>
        <w:tc>
          <w:tcPr>
            <w:tcW w:w="2350" w:type="dxa"/>
            <w:tcBorders>
              <w:top w:val="nil"/>
              <w:left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2.50 ± 0.47</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MKI67</w:t>
            </w:r>
          </w:p>
        </w:tc>
        <w:tc>
          <w:tcPr>
            <w:tcW w:w="3540" w:type="dxa"/>
            <w:tcBorders>
              <w:left w:val="nil"/>
              <w:bottom w:val="nil"/>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Marker Of Proliferation Ki-67</w:t>
            </w:r>
          </w:p>
          <w:p w:rsidR="00FD1E7C" w:rsidRPr="00D96D61" w:rsidRDefault="00FD1E7C" w:rsidP="00BC5B08">
            <w:pPr>
              <w:spacing w:line="480" w:lineRule="auto"/>
              <w:rPr>
                <w:rFonts w:ascii="Calibri" w:hAnsi="Calibri"/>
                <w:lang w:val="en-US" w:eastAsia="en-US"/>
              </w:rPr>
            </w:pPr>
          </w:p>
        </w:tc>
        <w:tc>
          <w:tcPr>
            <w:tcW w:w="2350" w:type="dxa"/>
            <w:tcBorders>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0.45 ± 0.04</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top w:val="nil"/>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RECQL4</w:t>
            </w:r>
          </w:p>
        </w:tc>
        <w:tc>
          <w:tcPr>
            <w:tcW w:w="3540" w:type="dxa"/>
            <w:tcBorders>
              <w:top w:val="nil"/>
              <w:left w:val="nil"/>
              <w:bottom w:val="nil"/>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RecQ Like Helicase 4 </w:t>
            </w:r>
          </w:p>
          <w:p w:rsidR="00FD1E7C" w:rsidRPr="00D96D61" w:rsidRDefault="00FD1E7C" w:rsidP="00BC5B08">
            <w:pPr>
              <w:spacing w:line="480" w:lineRule="auto"/>
              <w:rPr>
                <w:rFonts w:ascii="Calibri" w:hAnsi="Calibri"/>
                <w:lang w:val="en-US" w:eastAsia="en-US"/>
              </w:rPr>
            </w:pPr>
          </w:p>
        </w:tc>
        <w:tc>
          <w:tcPr>
            <w:tcW w:w="2350"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0.44 ± 0.02</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1757" w:type="dxa"/>
            <w:tcBorders>
              <w:top w:val="nil"/>
              <w:left w:val="double" w:sz="4" w:space="0" w:color="auto"/>
              <w:bottom w:val="double" w:sz="4" w:space="0" w:color="auto"/>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WDR62</w:t>
            </w:r>
          </w:p>
        </w:tc>
        <w:tc>
          <w:tcPr>
            <w:tcW w:w="3540" w:type="dxa"/>
            <w:tcBorders>
              <w:top w:val="nil"/>
              <w:left w:val="nil"/>
              <w:bottom w:val="double" w:sz="4" w:space="0" w:color="auto"/>
              <w:right w:val="nil"/>
            </w:tcBorders>
          </w:tcPr>
          <w:p w:rsidR="00FD1E7C" w:rsidRPr="00D96D61" w:rsidRDefault="00FD1E7C" w:rsidP="00BC5B08">
            <w:pPr>
              <w:spacing w:line="480" w:lineRule="auto"/>
              <w:rPr>
                <w:rFonts w:ascii="Calibri" w:hAnsi="Calibri"/>
                <w:lang w:eastAsia="en-US"/>
              </w:rPr>
            </w:pPr>
            <w:r w:rsidRPr="00D96D61">
              <w:rPr>
                <w:rFonts w:ascii="Calibri" w:hAnsi="Calibri"/>
                <w:lang w:eastAsia="en-US"/>
              </w:rPr>
              <w:t>WD Repeat Domain 62</w:t>
            </w:r>
          </w:p>
          <w:p w:rsidR="00FD1E7C" w:rsidRPr="00D96D61" w:rsidRDefault="00FD1E7C" w:rsidP="00BC5B08">
            <w:pPr>
              <w:spacing w:line="480" w:lineRule="auto"/>
              <w:rPr>
                <w:rFonts w:ascii="Calibri" w:hAnsi="Calibri"/>
                <w:lang w:val="en-US" w:eastAsia="en-US"/>
              </w:rPr>
            </w:pPr>
          </w:p>
        </w:tc>
        <w:tc>
          <w:tcPr>
            <w:tcW w:w="2350" w:type="dxa"/>
            <w:tcBorders>
              <w:top w:val="nil"/>
              <w:left w:val="nil"/>
              <w:bottom w:val="double" w:sz="4" w:space="0" w:color="auto"/>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0.42 ± 0.02</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p>
        </w:tc>
        <w:tc>
          <w:tcPr>
            <w:tcW w:w="808" w:type="dxa"/>
            <w:vMerge w:val="restart"/>
            <w:tcBorders>
              <w:top w:val="double" w:sz="4" w:space="0" w:color="auto"/>
              <w:left w:val="double" w:sz="4" w:space="0" w:color="auto"/>
              <w:bottom w:val="double" w:sz="4" w:space="0" w:color="auto"/>
              <w:right w:val="double" w:sz="4" w:space="0" w:color="auto"/>
            </w:tcBorders>
            <w:textDirection w:val="btLr"/>
          </w:tcPr>
          <w:p w:rsidR="00FD1E7C" w:rsidRPr="00D96D61" w:rsidRDefault="00FD1E7C" w:rsidP="00BC5B08">
            <w:pPr>
              <w:spacing w:line="480" w:lineRule="auto"/>
              <w:ind w:left="113" w:right="113"/>
              <w:jc w:val="center"/>
              <w:rPr>
                <w:rFonts w:ascii="Calibri" w:hAnsi="Calibri"/>
                <w:b/>
                <w:lang w:val="en-US" w:eastAsia="en-US"/>
              </w:rPr>
            </w:pPr>
            <w:r w:rsidRPr="00D96D61">
              <w:rPr>
                <w:rFonts w:ascii="Calibri" w:hAnsi="Calibri"/>
                <w:b/>
                <w:lang w:val="en-US" w:eastAsia="en-US"/>
              </w:rPr>
              <w:t>48 h</w:t>
            </w:r>
          </w:p>
        </w:tc>
        <w:tc>
          <w:tcPr>
            <w:tcW w:w="1757" w:type="dxa"/>
            <w:tcBorders>
              <w:top w:val="double" w:sz="4" w:space="0" w:color="auto"/>
              <w:left w:val="double" w:sz="4" w:space="0" w:color="auto"/>
              <w:bottom w:val="nil"/>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LOC730083</w:t>
            </w:r>
          </w:p>
        </w:tc>
        <w:tc>
          <w:tcPr>
            <w:tcW w:w="3540" w:type="dxa"/>
            <w:tcBorders>
              <w:top w:val="double" w:sz="4" w:space="0" w:color="auto"/>
              <w:left w:val="nil"/>
              <w:bottom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uncertain function</w:t>
            </w:r>
          </w:p>
          <w:p w:rsidR="00FD1E7C" w:rsidRPr="00D96D61" w:rsidRDefault="00FD1E7C" w:rsidP="00BC5B08">
            <w:pPr>
              <w:spacing w:line="480" w:lineRule="auto"/>
              <w:rPr>
                <w:rFonts w:ascii="Calibri" w:hAnsi="Calibri"/>
                <w:b/>
                <w:lang w:val="en-US" w:eastAsia="en-US"/>
              </w:rPr>
            </w:pPr>
          </w:p>
        </w:tc>
        <w:tc>
          <w:tcPr>
            <w:tcW w:w="2350" w:type="dxa"/>
            <w:tcBorders>
              <w:top w:val="double" w:sz="4" w:space="0" w:color="auto"/>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2.36 ± 0.14</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top w:val="nil"/>
              <w:left w:val="double" w:sz="4" w:space="0" w:color="auto"/>
              <w:bottom w:val="nil"/>
              <w:right w:val="nil"/>
            </w:tcBorders>
          </w:tcPr>
          <w:p w:rsidR="00FD1E7C" w:rsidRPr="00D96D61" w:rsidRDefault="00FD1E7C" w:rsidP="00BC5B08">
            <w:pPr>
              <w:spacing w:line="480" w:lineRule="auto"/>
              <w:rPr>
                <w:rFonts w:ascii="Calibri" w:hAnsi="Calibri"/>
                <w:b/>
                <w:i/>
                <w:lang w:eastAsia="en-US"/>
              </w:rPr>
            </w:pPr>
            <w:r w:rsidRPr="00D96D61">
              <w:rPr>
                <w:rFonts w:ascii="Calibri" w:hAnsi="Calibri"/>
                <w:b/>
                <w:i/>
                <w:lang w:eastAsia="en-US"/>
              </w:rPr>
              <w:t>TUBE1</w:t>
            </w:r>
          </w:p>
        </w:tc>
        <w:tc>
          <w:tcPr>
            <w:tcW w:w="3540" w:type="dxa"/>
            <w:tcBorders>
              <w:top w:val="nil"/>
              <w:left w:val="nil"/>
              <w:bottom w:val="nil"/>
              <w:right w:val="nil"/>
            </w:tcBorders>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Tubulin Epsilon 1</w:t>
            </w:r>
          </w:p>
          <w:p w:rsidR="00FD1E7C" w:rsidRPr="00D96D61" w:rsidRDefault="00FD1E7C" w:rsidP="00BC5B08">
            <w:pPr>
              <w:spacing w:line="480" w:lineRule="auto"/>
              <w:rPr>
                <w:rFonts w:ascii="Calibri" w:hAnsi="Calibri"/>
                <w:b/>
                <w:lang w:val="en-US" w:eastAsia="en-US"/>
              </w:rPr>
            </w:pPr>
          </w:p>
        </w:tc>
        <w:tc>
          <w:tcPr>
            <w:tcW w:w="2350"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2.26 ± 0.22</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top w:val="nil"/>
              <w:left w:val="double" w:sz="4" w:space="0" w:color="auto"/>
              <w:right w:val="nil"/>
            </w:tcBorders>
          </w:tcPr>
          <w:p w:rsidR="00FD1E7C" w:rsidRPr="00D96D61" w:rsidRDefault="00FD1E7C" w:rsidP="00BC5B08">
            <w:pPr>
              <w:spacing w:line="480" w:lineRule="auto"/>
              <w:rPr>
                <w:rFonts w:ascii="Calibri" w:hAnsi="Calibri"/>
                <w:b/>
                <w:i/>
                <w:u w:val="single"/>
                <w:lang w:eastAsia="en-US"/>
              </w:rPr>
            </w:pPr>
            <w:r w:rsidRPr="00D96D61">
              <w:rPr>
                <w:rFonts w:ascii="Calibri" w:hAnsi="Calibri"/>
                <w:b/>
                <w:i/>
                <w:u w:val="single"/>
                <w:lang w:eastAsia="en-US"/>
              </w:rPr>
              <w:t>LOC730167</w:t>
            </w:r>
          </w:p>
        </w:tc>
        <w:tc>
          <w:tcPr>
            <w:tcW w:w="3540" w:type="dxa"/>
            <w:tcBorders>
              <w:top w:val="nil"/>
              <w:left w:val="nil"/>
              <w:right w:val="nil"/>
            </w:tcBorders>
          </w:tcPr>
          <w:p w:rsidR="00FD1E7C" w:rsidRPr="00D96D61" w:rsidRDefault="00FD1E7C" w:rsidP="00BC5B08">
            <w:pPr>
              <w:spacing w:line="480" w:lineRule="auto"/>
              <w:rPr>
                <w:rFonts w:ascii="Calibri" w:hAnsi="Calibri"/>
                <w:b/>
                <w:lang w:val="en-US" w:eastAsia="en-US"/>
              </w:rPr>
            </w:pPr>
            <w:r w:rsidRPr="00D96D61">
              <w:rPr>
                <w:rFonts w:ascii="Calibri" w:hAnsi="Calibri"/>
                <w:b/>
                <w:lang w:val="en-US" w:eastAsia="en-US"/>
              </w:rPr>
              <w:t>uncertain function</w:t>
            </w:r>
          </w:p>
          <w:p w:rsidR="00FD1E7C" w:rsidRPr="00D96D61" w:rsidRDefault="00FD1E7C" w:rsidP="00BC5B08">
            <w:pPr>
              <w:spacing w:line="480" w:lineRule="auto"/>
              <w:rPr>
                <w:rFonts w:ascii="Calibri" w:hAnsi="Calibri"/>
                <w:b/>
                <w:lang w:val="en-US" w:eastAsia="en-US"/>
              </w:rPr>
            </w:pPr>
          </w:p>
        </w:tc>
        <w:tc>
          <w:tcPr>
            <w:tcW w:w="2350" w:type="dxa"/>
            <w:tcBorders>
              <w:top w:val="nil"/>
              <w:left w:val="nil"/>
              <w:right w:val="double" w:sz="4" w:space="0" w:color="auto"/>
            </w:tcBorders>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2.10 ± 0.25</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XIST</w:t>
            </w:r>
          </w:p>
        </w:tc>
        <w:tc>
          <w:tcPr>
            <w:tcW w:w="3540" w:type="dxa"/>
            <w:tcBorders>
              <w:left w:val="nil"/>
              <w:bottom w:val="nil"/>
              <w:right w:val="nil"/>
            </w:tcBorders>
          </w:tcPr>
          <w:p w:rsidR="00FD1E7C" w:rsidRPr="00D479DC" w:rsidRDefault="00FD1E7C" w:rsidP="00BC5B08">
            <w:pPr>
              <w:spacing w:line="480" w:lineRule="auto"/>
              <w:rPr>
                <w:rFonts w:ascii="Calibri" w:hAnsi="Calibri"/>
                <w:lang w:val="fr-FR" w:eastAsia="en-US"/>
              </w:rPr>
            </w:pPr>
            <w:r w:rsidRPr="00D479DC">
              <w:rPr>
                <w:rFonts w:ascii="Calibri" w:hAnsi="Calibri"/>
                <w:lang w:val="fr-FR" w:eastAsia="en-US"/>
              </w:rPr>
              <w:t>X Inactive Specific Transcript (Non-Protein Coding)</w:t>
            </w:r>
          </w:p>
          <w:p w:rsidR="00FD1E7C" w:rsidRPr="00D479DC" w:rsidRDefault="00FD1E7C" w:rsidP="00BC5B08">
            <w:pPr>
              <w:spacing w:line="480" w:lineRule="auto"/>
              <w:rPr>
                <w:rFonts w:ascii="Calibri" w:hAnsi="Calibri"/>
                <w:lang w:val="fr-FR" w:eastAsia="en-US"/>
              </w:rPr>
            </w:pPr>
          </w:p>
        </w:tc>
        <w:tc>
          <w:tcPr>
            <w:tcW w:w="2350" w:type="dxa"/>
            <w:tcBorders>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0.48 ± 0.36</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top w:val="nil"/>
              <w:left w:val="double" w:sz="4" w:space="0" w:color="auto"/>
              <w:bottom w:val="nil"/>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TAF1</w:t>
            </w:r>
          </w:p>
        </w:tc>
        <w:tc>
          <w:tcPr>
            <w:tcW w:w="3540" w:type="dxa"/>
            <w:tcBorders>
              <w:top w:val="nil"/>
              <w:left w:val="nil"/>
              <w:bottom w:val="nil"/>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TATA-Box Binding Protein Associated Factor 1</w:t>
            </w:r>
          </w:p>
          <w:p w:rsidR="00FD1E7C" w:rsidRPr="00D96D61" w:rsidRDefault="00FD1E7C" w:rsidP="00BC5B08">
            <w:pPr>
              <w:spacing w:line="480" w:lineRule="auto"/>
              <w:rPr>
                <w:rFonts w:ascii="Calibri" w:hAnsi="Calibri"/>
                <w:lang w:val="en-US" w:eastAsia="en-US"/>
              </w:rPr>
            </w:pPr>
          </w:p>
        </w:tc>
        <w:tc>
          <w:tcPr>
            <w:tcW w:w="2350" w:type="dxa"/>
            <w:tcBorders>
              <w:top w:val="nil"/>
              <w:left w:val="nil"/>
              <w:bottom w:val="nil"/>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0.45 ± 0.10</w:t>
            </w:r>
          </w:p>
        </w:tc>
      </w:tr>
      <w:tr w:rsidR="00FD1E7C" w:rsidRPr="006C43FA" w:rsidTr="00BC5B08">
        <w:trPr>
          <w:jc w:val="center"/>
        </w:trPr>
        <w:tc>
          <w:tcPr>
            <w:tcW w:w="1736"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808" w:type="dxa"/>
            <w:vMerge/>
            <w:tcBorders>
              <w:top w:val="double" w:sz="4" w:space="0" w:color="auto"/>
              <w:left w:val="double" w:sz="4" w:space="0" w:color="auto"/>
              <w:bottom w:val="double" w:sz="4" w:space="0" w:color="auto"/>
              <w:right w:val="double" w:sz="4" w:space="0" w:color="auto"/>
            </w:tcBorders>
          </w:tcPr>
          <w:p w:rsidR="00FD1E7C" w:rsidRPr="00D96D61" w:rsidRDefault="00FD1E7C" w:rsidP="00BC5B08">
            <w:pPr>
              <w:spacing w:line="480" w:lineRule="auto"/>
              <w:rPr>
                <w:rFonts w:ascii="Calibri" w:hAnsi="Calibri"/>
                <w:b/>
                <w:lang w:val="en-US" w:eastAsia="en-US"/>
              </w:rPr>
            </w:pPr>
          </w:p>
        </w:tc>
        <w:tc>
          <w:tcPr>
            <w:tcW w:w="1757" w:type="dxa"/>
            <w:tcBorders>
              <w:top w:val="nil"/>
              <w:left w:val="double" w:sz="4" w:space="0" w:color="auto"/>
              <w:bottom w:val="double" w:sz="4" w:space="0" w:color="auto"/>
              <w:right w:val="nil"/>
            </w:tcBorders>
          </w:tcPr>
          <w:p w:rsidR="00FD1E7C" w:rsidRPr="00D96D61" w:rsidRDefault="00FD1E7C" w:rsidP="00BC5B08">
            <w:pPr>
              <w:spacing w:line="480" w:lineRule="auto"/>
              <w:rPr>
                <w:rFonts w:ascii="Calibri" w:hAnsi="Calibri"/>
                <w:i/>
                <w:lang w:eastAsia="en-US"/>
              </w:rPr>
            </w:pPr>
            <w:r w:rsidRPr="00D96D61">
              <w:rPr>
                <w:rFonts w:ascii="Calibri" w:hAnsi="Calibri"/>
                <w:i/>
                <w:lang w:eastAsia="en-US"/>
              </w:rPr>
              <w:t>MFHAS1</w:t>
            </w:r>
          </w:p>
        </w:tc>
        <w:tc>
          <w:tcPr>
            <w:tcW w:w="3540" w:type="dxa"/>
            <w:tcBorders>
              <w:top w:val="nil"/>
              <w:left w:val="nil"/>
              <w:bottom w:val="double" w:sz="4" w:space="0" w:color="auto"/>
              <w:right w:val="nil"/>
            </w:tcBorders>
          </w:tcPr>
          <w:p w:rsidR="00FD1E7C" w:rsidRPr="00D96D61" w:rsidRDefault="00FD1E7C" w:rsidP="00BC5B08">
            <w:pPr>
              <w:spacing w:line="480" w:lineRule="auto"/>
              <w:rPr>
                <w:rFonts w:ascii="Calibri" w:hAnsi="Calibri"/>
                <w:lang w:val="en-US" w:eastAsia="en-US"/>
              </w:rPr>
            </w:pPr>
            <w:r w:rsidRPr="00D96D61">
              <w:rPr>
                <w:rFonts w:ascii="Calibri" w:hAnsi="Calibri"/>
                <w:lang w:val="en-US" w:eastAsia="en-US"/>
              </w:rPr>
              <w:t>Malignant Fibrous Histiocytoma Amplified Sequence 1</w:t>
            </w:r>
          </w:p>
        </w:tc>
        <w:tc>
          <w:tcPr>
            <w:tcW w:w="2350" w:type="dxa"/>
            <w:tcBorders>
              <w:top w:val="nil"/>
              <w:left w:val="nil"/>
              <w:bottom w:val="double" w:sz="4" w:space="0" w:color="auto"/>
              <w:right w:val="double" w:sz="4" w:space="0" w:color="auto"/>
            </w:tcBorders>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0.42 ± 0.08</w:t>
            </w:r>
          </w:p>
        </w:tc>
      </w:tr>
    </w:tbl>
    <w:p w:rsidR="00FD1E7C" w:rsidRDefault="00322427" w:rsidP="00FB55D2">
      <w:pPr>
        <w:spacing w:line="480" w:lineRule="auto"/>
        <w:rPr>
          <w:lang w:val="en-US"/>
        </w:rPr>
      </w:pPr>
      <w:r>
        <w:rPr>
          <w:lang w:val="en-US"/>
        </w:rPr>
        <w:t>Tab.</w:t>
      </w:r>
      <w:r w:rsidR="00B719C0">
        <w:rPr>
          <w:lang w:val="en-US"/>
        </w:rPr>
        <w:t xml:space="preserve"> e</w:t>
      </w:r>
      <w:r w:rsidR="00FD1E7C" w:rsidRPr="000F35AB">
        <w:rPr>
          <w:i/>
          <w:lang w:val="en-US"/>
        </w:rPr>
        <w:t xml:space="preserve"> </w:t>
      </w:r>
      <w:r w:rsidR="00FD1E7C" w:rsidRPr="000F35AB">
        <w:rPr>
          <w:lang w:val="en-US"/>
        </w:rPr>
        <w:t>Numerical data for cell cycle fluorescence profile of HDFa, MPS I and MPS II fibroblasts in culture treated for 24 h with indomethacin (IN) dose of 10 µM or nimesulide (NIM) dose of 25 µM. The indicated data represent mean values ± S</w:t>
      </w:r>
      <w:r w:rsidR="009728DA" w:rsidRPr="000F35AB">
        <w:rPr>
          <w:lang w:val="en-US"/>
        </w:rPr>
        <w:t>.</w:t>
      </w:r>
      <w:r w:rsidR="00FD1E7C" w:rsidRPr="000F35AB">
        <w:rPr>
          <w:lang w:val="en-US"/>
        </w:rPr>
        <w:t>D</w:t>
      </w:r>
      <w:r w:rsidR="009728DA" w:rsidRPr="000F35AB">
        <w:rPr>
          <w:lang w:val="en-US"/>
        </w:rPr>
        <w:t>.</w:t>
      </w:r>
      <w:r w:rsidR="00FD1E7C" w:rsidRPr="000F35AB">
        <w:rPr>
          <w:lang w:val="en-US"/>
        </w:rPr>
        <w:t xml:space="preserve"> from 3 independent experiments. Asterisks indicate </w:t>
      </w:r>
      <w:r w:rsidR="009728DA" w:rsidRPr="000F35AB">
        <w:rPr>
          <w:lang w:val="en-US"/>
        </w:rPr>
        <w:t>P</w:t>
      </w:r>
      <w:r w:rsidR="00FD1E7C" w:rsidRPr="000F35AB">
        <w:rPr>
          <w:lang w:val="en-US"/>
        </w:rPr>
        <w:t xml:space="preserve"> &lt; 0.</w:t>
      </w:r>
      <w:r w:rsidR="00FD1E7C" w:rsidRPr="00150E13">
        <w:rPr>
          <w:lang w:val="en-US"/>
        </w:rPr>
        <w:t xml:space="preserve">05 in </w:t>
      </w:r>
      <w:r w:rsidR="00FD1E7C" w:rsidRPr="00F47ACA">
        <w:rPr>
          <w:i/>
          <w:lang w:val="en-US"/>
        </w:rPr>
        <w:t>t</w:t>
      </w:r>
      <w:r w:rsidR="00FD1E7C" w:rsidRPr="00150E13">
        <w:rPr>
          <w:lang w:val="en-US"/>
        </w:rPr>
        <w:t>-S</w:t>
      </w:r>
      <w:r w:rsidR="00FD1E7C">
        <w:rPr>
          <w:lang w:val="en-US"/>
        </w:rPr>
        <w:t xml:space="preserve">tudent test </w:t>
      </w:r>
      <w:r w:rsidR="00FD1E7C" w:rsidRPr="005A4908">
        <w:rPr>
          <w:lang w:val="en-US"/>
        </w:rPr>
        <w:t xml:space="preserve">if the difference untreated </w:t>
      </w:r>
      <w:r w:rsidR="00FD1E7C">
        <w:rPr>
          <w:lang w:val="en-US"/>
        </w:rPr>
        <w:t>(Control) and</w:t>
      </w:r>
      <w:r w:rsidR="00FD1E7C" w:rsidRPr="007D422D">
        <w:rPr>
          <w:lang w:val="en-US"/>
        </w:rPr>
        <w:t xml:space="preserve"> treated </w:t>
      </w:r>
      <w:r w:rsidR="00FD1E7C">
        <w:rPr>
          <w:lang w:val="en-US"/>
        </w:rPr>
        <w:t xml:space="preserve">cells </w:t>
      </w:r>
      <w:r w:rsidR="00FD1E7C" w:rsidRPr="005A4908">
        <w:rPr>
          <w:lang w:val="en-US"/>
        </w:rPr>
        <w:t>is statistically significant.</w:t>
      </w:r>
    </w:p>
    <w:p w:rsidR="00692A6E" w:rsidRDefault="00692A6E" w:rsidP="00FB55D2">
      <w:pPr>
        <w:spacing w:line="480" w:lineRule="auto"/>
        <w:rPr>
          <w:lang w:val="en-US"/>
        </w:rPr>
      </w:pPr>
    </w:p>
    <w:tbl>
      <w:tblPr>
        <w:tblW w:w="11291" w:type="dxa"/>
        <w:tblInd w:w="-851" w:type="dxa"/>
        <w:tblLook w:val="00A0" w:firstRow="1" w:lastRow="0" w:firstColumn="1" w:lastColumn="0" w:noHBand="0" w:noVBand="0"/>
      </w:tblPr>
      <w:tblGrid>
        <w:gridCol w:w="2810"/>
        <w:gridCol w:w="2245"/>
        <w:gridCol w:w="2058"/>
        <w:gridCol w:w="2089"/>
        <w:gridCol w:w="2089"/>
      </w:tblGrid>
      <w:tr w:rsidR="00FD1E7C" w:rsidRPr="00253B48" w:rsidTr="00BC5B08">
        <w:trPr>
          <w:trHeight w:val="329"/>
        </w:trPr>
        <w:tc>
          <w:tcPr>
            <w:tcW w:w="2810" w:type="dxa"/>
            <w:vMerge w:val="restart"/>
            <w:tcBorders>
              <w:top w:val="double" w:sz="4" w:space="0" w:color="auto"/>
            </w:tcBorders>
            <w:vAlign w:val="bottom"/>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Cultured cells</w:t>
            </w:r>
          </w:p>
        </w:tc>
        <w:tc>
          <w:tcPr>
            <w:tcW w:w="2245" w:type="dxa"/>
            <w:vMerge w:val="restart"/>
            <w:tcBorders>
              <w:top w:val="double" w:sz="4" w:space="0" w:color="auto"/>
            </w:tcBorders>
            <w:vAlign w:val="bottom"/>
          </w:tcPr>
          <w:p w:rsidR="00FD1E7C" w:rsidRPr="00D96D61" w:rsidRDefault="00FD1E7C" w:rsidP="00BC5B08">
            <w:pPr>
              <w:spacing w:line="480" w:lineRule="auto"/>
              <w:rPr>
                <w:rFonts w:ascii="Calibri" w:hAnsi="Calibri"/>
                <w:b/>
                <w:lang w:eastAsia="en-US"/>
              </w:rPr>
            </w:pPr>
            <w:r w:rsidRPr="00D96D61">
              <w:rPr>
                <w:rFonts w:ascii="Calibri" w:hAnsi="Calibri"/>
                <w:b/>
                <w:lang w:eastAsia="en-US"/>
              </w:rPr>
              <w:t>Conditions</w:t>
            </w:r>
          </w:p>
        </w:tc>
        <w:tc>
          <w:tcPr>
            <w:tcW w:w="2058" w:type="dxa"/>
            <w:tcBorders>
              <w:top w:val="double" w:sz="4" w:space="0" w:color="auto"/>
              <w:bottom w:val="single" w:sz="4" w:space="0" w:color="auto"/>
            </w:tcBorders>
            <w:vAlign w:val="bottom"/>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G0/G1</w:t>
            </w:r>
          </w:p>
        </w:tc>
        <w:tc>
          <w:tcPr>
            <w:tcW w:w="2089" w:type="dxa"/>
            <w:tcBorders>
              <w:top w:val="double" w:sz="4" w:space="0" w:color="auto"/>
              <w:bottom w:val="single" w:sz="4" w:space="0" w:color="auto"/>
            </w:tcBorders>
            <w:vAlign w:val="bottom"/>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S</w:t>
            </w:r>
          </w:p>
        </w:tc>
        <w:tc>
          <w:tcPr>
            <w:tcW w:w="2089" w:type="dxa"/>
            <w:tcBorders>
              <w:top w:val="double" w:sz="4" w:space="0" w:color="auto"/>
              <w:bottom w:val="single" w:sz="4" w:space="0" w:color="auto"/>
            </w:tcBorders>
            <w:vAlign w:val="bottom"/>
          </w:tcPr>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G2/M</w:t>
            </w:r>
          </w:p>
        </w:tc>
      </w:tr>
      <w:tr w:rsidR="00FD1E7C" w:rsidRPr="00253B48" w:rsidTr="00BC5B08">
        <w:trPr>
          <w:trHeight w:val="678"/>
        </w:trPr>
        <w:tc>
          <w:tcPr>
            <w:tcW w:w="2810" w:type="dxa"/>
            <w:vMerge/>
            <w:tcBorders>
              <w:bottom w:val="double" w:sz="4" w:space="0" w:color="auto"/>
            </w:tcBorders>
          </w:tcPr>
          <w:p w:rsidR="00FD1E7C" w:rsidRPr="00D96D61" w:rsidRDefault="00FD1E7C" w:rsidP="00BC5B08">
            <w:pPr>
              <w:spacing w:line="480" w:lineRule="auto"/>
              <w:jc w:val="center"/>
              <w:rPr>
                <w:rFonts w:ascii="Calibri" w:hAnsi="Calibri"/>
                <w:b/>
                <w:lang w:eastAsia="en-US"/>
              </w:rPr>
            </w:pPr>
          </w:p>
        </w:tc>
        <w:tc>
          <w:tcPr>
            <w:tcW w:w="2245" w:type="dxa"/>
            <w:vMerge/>
            <w:tcBorders>
              <w:bottom w:val="double" w:sz="4" w:space="0" w:color="auto"/>
            </w:tcBorders>
          </w:tcPr>
          <w:p w:rsidR="00FD1E7C" w:rsidRPr="00D96D61" w:rsidRDefault="00FD1E7C" w:rsidP="00BC5B08">
            <w:pPr>
              <w:spacing w:line="480" w:lineRule="auto"/>
              <w:jc w:val="center"/>
              <w:rPr>
                <w:rFonts w:ascii="Calibri" w:hAnsi="Calibri"/>
                <w:b/>
                <w:lang w:eastAsia="en-US"/>
              </w:rPr>
            </w:pPr>
          </w:p>
        </w:tc>
        <w:tc>
          <w:tcPr>
            <w:tcW w:w="2058" w:type="dxa"/>
            <w:tcBorders>
              <w:top w:val="single" w:sz="4" w:space="0" w:color="auto"/>
              <w:bottom w:val="double" w:sz="4" w:space="0" w:color="auto"/>
            </w:tcBorders>
            <w:vAlign w:val="bottom"/>
          </w:tcPr>
          <w:p w:rsidR="00FD1E7C" w:rsidRPr="000F35AB" w:rsidRDefault="00FD1E7C" w:rsidP="00BC5B08">
            <w:pPr>
              <w:spacing w:line="480" w:lineRule="auto"/>
              <w:jc w:val="center"/>
              <w:rPr>
                <w:rFonts w:ascii="Calibri" w:hAnsi="Calibri"/>
                <w:b/>
                <w:lang w:eastAsia="en-US"/>
              </w:rPr>
            </w:pPr>
            <w:r w:rsidRPr="000F35AB">
              <w:rPr>
                <w:rFonts w:ascii="Calibri" w:hAnsi="Calibri"/>
                <w:b/>
                <w:lang w:eastAsia="en-US"/>
              </w:rPr>
              <w:t>Mean ± S</w:t>
            </w:r>
            <w:r w:rsidR="009728DA" w:rsidRPr="000F35AB">
              <w:rPr>
                <w:rFonts w:ascii="Calibri" w:hAnsi="Calibri"/>
                <w:b/>
                <w:lang w:eastAsia="en-US"/>
              </w:rPr>
              <w:t>.</w:t>
            </w:r>
            <w:r w:rsidRPr="000F35AB">
              <w:rPr>
                <w:rFonts w:ascii="Calibri" w:hAnsi="Calibri"/>
                <w:b/>
                <w:lang w:eastAsia="en-US"/>
              </w:rPr>
              <w:t>D</w:t>
            </w:r>
            <w:r w:rsidR="009728DA" w:rsidRPr="000F35AB">
              <w:rPr>
                <w:rFonts w:ascii="Calibri" w:hAnsi="Calibri"/>
                <w:b/>
                <w:lang w:eastAsia="en-US"/>
              </w:rPr>
              <w:t>.</w:t>
            </w:r>
          </w:p>
        </w:tc>
        <w:tc>
          <w:tcPr>
            <w:tcW w:w="2089" w:type="dxa"/>
            <w:tcBorders>
              <w:top w:val="single" w:sz="4" w:space="0" w:color="auto"/>
              <w:bottom w:val="double" w:sz="4" w:space="0" w:color="auto"/>
            </w:tcBorders>
            <w:vAlign w:val="bottom"/>
          </w:tcPr>
          <w:p w:rsidR="00FD1E7C" w:rsidRPr="000F35AB" w:rsidRDefault="00FD1E7C" w:rsidP="00BC5B08">
            <w:pPr>
              <w:spacing w:line="480" w:lineRule="auto"/>
              <w:jc w:val="center"/>
              <w:rPr>
                <w:rFonts w:ascii="Calibri" w:hAnsi="Calibri"/>
                <w:b/>
                <w:lang w:eastAsia="en-US"/>
              </w:rPr>
            </w:pPr>
            <w:r w:rsidRPr="000F35AB">
              <w:rPr>
                <w:rFonts w:ascii="Calibri" w:hAnsi="Calibri"/>
                <w:b/>
                <w:lang w:eastAsia="en-US"/>
              </w:rPr>
              <w:t>Mean ± S</w:t>
            </w:r>
            <w:r w:rsidR="009728DA" w:rsidRPr="000F35AB">
              <w:rPr>
                <w:rFonts w:ascii="Calibri" w:hAnsi="Calibri"/>
                <w:b/>
                <w:lang w:eastAsia="en-US"/>
              </w:rPr>
              <w:t>.</w:t>
            </w:r>
            <w:r w:rsidRPr="000F35AB">
              <w:rPr>
                <w:rFonts w:ascii="Calibri" w:hAnsi="Calibri"/>
                <w:b/>
                <w:lang w:eastAsia="en-US"/>
              </w:rPr>
              <w:t>D</w:t>
            </w:r>
            <w:r w:rsidR="009728DA" w:rsidRPr="000F35AB">
              <w:rPr>
                <w:rFonts w:ascii="Calibri" w:hAnsi="Calibri"/>
                <w:b/>
                <w:lang w:eastAsia="en-US"/>
              </w:rPr>
              <w:t>.</w:t>
            </w:r>
          </w:p>
        </w:tc>
        <w:tc>
          <w:tcPr>
            <w:tcW w:w="2089" w:type="dxa"/>
            <w:tcBorders>
              <w:top w:val="single" w:sz="4" w:space="0" w:color="auto"/>
              <w:bottom w:val="double" w:sz="4" w:space="0" w:color="auto"/>
            </w:tcBorders>
            <w:vAlign w:val="bottom"/>
          </w:tcPr>
          <w:p w:rsidR="00FD1E7C" w:rsidRPr="000F35AB" w:rsidRDefault="00FD1E7C" w:rsidP="00BC5B08">
            <w:pPr>
              <w:spacing w:line="480" w:lineRule="auto"/>
              <w:jc w:val="center"/>
              <w:rPr>
                <w:rFonts w:ascii="Calibri" w:hAnsi="Calibri"/>
                <w:b/>
                <w:lang w:eastAsia="en-US"/>
              </w:rPr>
            </w:pPr>
            <w:r w:rsidRPr="000F35AB">
              <w:rPr>
                <w:rFonts w:ascii="Calibri" w:hAnsi="Calibri"/>
                <w:b/>
                <w:lang w:eastAsia="en-US"/>
              </w:rPr>
              <w:t>Mean ± S</w:t>
            </w:r>
            <w:r w:rsidR="009728DA" w:rsidRPr="000F35AB">
              <w:rPr>
                <w:rFonts w:ascii="Calibri" w:hAnsi="Calibri"/>
                <w:b/>
                <w:lang w:eastAsia="en-US"/>
              </w:rPr>
              <w:t>.</w:t>
            </w:r>
            <w:r w:rsidRPr="000F35AB">
              <w:rPr>
                <w:rFonts w:ascii="Calibri" w:hAnsi="Calibri"/>
                <w:b/>
                <w:lang w:eastAsia="en-US"/>
              </w:rPr>
              <w:t>D</w:t>
            </w:r>
            <w:r w:rsidR="009728DA" w:rsidRPr="000F35AB">
              <w:rPr>
                <w:rFonts w:ascii="Calibri" w:hAnsi="Calibri"/>
                <w:b/>
                <w:lang w:eastAsia="en-US"/>
              </w:rPr>
              <w:t>.</w:t>
            </w:r>
          </w:p>
        </w:tc>
      </w:tr>
      <w:tr w:rsidR="00FD1E7C" w:rsidRPr="00253B48" w:rsidTr="00BC5B08">
        <w:trPr>
          <w:trHeight w:val="607"/>
        </w:trPr>
        <w:tc>
          <w:tcPr>
            <w:tcW w:w="2810" w:type="dxa"/>
            <w:vMerge w:val="restart"/>
            <w:tcBorders>
              <w:top w:val="doub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HDFa</w:t>
            </w:r>
          </w:p>
        </w:tc>
        <w:tc>
          <w:tcPr>
            <w:tcW w:w="2245" w:type="dxa"/>
            <w:tcBorders>
              <w:top w:val="doub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Control</w:t>
            </w:r>
          </w:p>
        </w:tc>
        <w:tc>
          <w:tcPr>
            <w:tcW w:w="2058" w:type="dxa"/>
            <w:tcBorders>
              <w:top w:val="doub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46.8 ± 6.95</w:t>
            </w:r>
          </w:p>
        </w:tc>
        <w:tc>
          <w:tcPr>
            <w:tcW w:w="2089" w:type="dxa"/>
            <w:tcBorders>
              <w:top w:val="doub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25.0 ± 2.37</w:t>
            </w:r>
          </w:p>
        </w:tc>
        <w:tc>
          <w:tcPr>
            <w:tcW w:w="2089" w:type="dxa"/>
            <w:tcBorders>
              <w:top w:val="doub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25.2 ± 7.65</w:t>
            </w:r>
          </w:p>
        </w:tc>
      </w:tr>
      <w:tr w:rsidR="00FD1E7C" w:rsidRPr="00253B48" w:rsidTr="00BC5B08">
        <w:trPr>
          <w:trHeight w:val="600"/>
        </w:trPr>
        <w:tc>
          <w:tcPr>
            <w:tcW w:w="2810" w:type="dxa"/>
            <w:vMerge/>
            <w:vAlign w:val="center"/>
          </w:tcPr>
          <w:p w:rsidR="00FD1E7C" w:rsidRPr="00D96D61" w:rsidRDefault="00FD1E7C" w:rsidP="00BC5B08">
            <w:pPr>
              <w:spacing w:line="480" w:lineRule="auto"/>
              <w:rPr>
                <w:rFonts w:ascii="Calibri" w:hAnsi="Calibri"/>
                <w:lang w:eastAsia="en-US"/>
              </w:rPr>
            </w:pPr>
          </w:p>
        </w:tc>
        <w:tc>
          <w:tcPr>
            <w:tcW w:w="2245" w:type="dxa"/>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10 µM IN</w:t>
            </w:r>
          </w:p>
        </w:tc>
        <w:tc>
          <w:tcPr>
            <w:tcW w:w="2058"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56.4 ± 0.84</w:t>
            </w:r>
          </w:p>
        </w:tc>
        <w:tc>
          <w:tcPr>
            <w:tcW w:w="2089"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24.8 ± 0.21</w:t>
            </w:r>
          </w:p>
        </w:tc>
        <w:tc>
          <w:tcPr>
            <w:tcW w:w="2089"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17.5 ± 0.81</w:t>
            </w:r>
          </w:p>
        </w:tc>
      </w:tr>
      <w:tr w:rsidR="00FD1E7C" w:rsidRPr="00253B48" w:rsidTr="00BC5B08">
        <w:trPr>
          <w:trHeight w:val="609"/>
        </w:trPr>
        <w:tc>
          <w:tcPr>
            <w:tcW w:w="2810" w:type="dxa"/>
            <w:vMerge/>
            <w:tcBorders>
              <w:bottom w:val="single" w:sz="4" w:space="0" w:color="auto"/>
            </w:tcBorders>
            <w:vAlign w:val="center"/>
          </w:tcPr>
          <w:p w:rsidR="00FD1E7C" w:rsidRPr="00D96D61" w:rsidRDefault="00FD1E7C" w:rsidP="00BC5B08">
            <w:pPr>
              <w:spacing w:line="480" w:lineRule="auto"/>
              <w:rPr>
                <w:rFonts w:ascii="Calibri" w:hAnsi="Calibri"/>
                <w:lang w:eastAsia="en-US"/>
              </w:rPr>
            </w:pPr>
          </w:p>
        </w:tc>
        <w:tc>
          <w:tcPr>
            <w:tcW w:w="2245" w:type="dxa"/>
            <w:tcBorders>
              <w:bottom w:val="sing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25 µM NIM</w:t>
            </w:r>
          </w:p>
        </w:tc>
        <w:tc>
          <w:tcPr>
            <w:tcW w:w="2058" w:type="dxa"/>
            <w:tcBorders>
              <w:bottom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49.7 ± 8.56</w:t>
            </w:r>
          </w:p>
        </w:tc>
        <w:tc>
          <w:tcPr>
            <w:tcW w:w="2089" w:type="dxa"/>
            <w:tcBorders>
              <w:bottom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24.7 ± 1.13</w:t>
            </w:r>
          </w:p>
        </w:tc>
        <w:tc>
          <w:tcPr>
            <w:tcW w:w="2089" w:type="dxa"/>
            <w:tcBorders>
              <w:bottom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22.9 ± 5.44</w:t>
            </w:r>
          </w:p>
        </w:tc>
      </w:tr>
      <w:tr w:rsidR="00FD1E7C" w:rsidRPr="00253B48" w:rsidTr="00BC5B08">
        <w:trPr>
          <w:trHeight w:val="609"/>
        </w:trPr>
        <w:tc>
          <w:tcPr>
            <w:tcW w:w="2810" w:type="dxa"/>
            <w:vMerge w:val="restart"/>
            <w:tcBorders>
              <w:top w:val="sing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MPS I fibroblasts</w:t>
            </w:r>
          </w:p>
        </w:tc>
        <w:tc>
          <w:tcPr>
            <w:tcW w:w="2245" w:type="dxa"/>
            <w:tcBorders>
              <w:top w:val="sing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Control</w:t>
            </w:r>
          </w:p>
        </w:tc>
        <w:tc>
          <w:tcPr>
            <w:tcW w:w="2058" w:type="dxa"/>
            <w:tcBorders>
              <w:top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57.7 ± 1.10</w:t>
            </w:r>
          </w:p>
        </w:tc>
        <w:tc>
          <w:tcPr>
            <w:tcW w:w="2089" w:type="dxa"/>
            <w:tcBorders>
              <w:top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28.1 ± 1.62</w:t>
            </w:r>
          </w:p>
        </w:tc>
        <w:tc>
          <w:tcPr>
            <w:tcW w:w="2089" w:type="dxa"/>
            <w:tcBorders>
              <w:top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12.8 ± 0.50</w:t>
            </w:r>
          </w:p>
        </w:tc>
      </w:tr>
      <w:tr w:rsidR="00FD1E7C" w:rsidRPr="00253B48" w:rsidTr="00BC5B08">
        <w:trPr>
          <w:trHeight w:val="609"/>
        </w:trPr>
        <w:tc>
          <w:tcPr>
            <w:tcW w:w="2810" w:type="dxa"/>
            <w:vMerge/>
            <w:vAlign w:val="center"/>
          </w:tcPr>
          <w:p w:rsidR="00FD1E7C" w:rsidRPr="00D96D61" w:rsidRDefault="00FD1E7C" w:rsidP="00BC5B08">
            <w:pPr>
              <w:spacing w:line="480" w:lineRule="auto"/>
              <w:rPr>
                <w:rFonts w:ascii="Calibri" w:hAnsi="Calibri"/>
                <w:lang w:eastAsia="en-US"/>
              </w:rPr>
            </w:pPr>
          </w:p>
        </w:tc>
        <w:tc>
          <w:tcPr>
            <w:tcW w:w="2245" w:type="dxa"/>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10 µM IN</w:t>
            </w:r>
          </w:p>
        </w:tc>
        <w:tc>
          <w:tcPr>
            <w:tcW w:w="2058"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60.7 ± 0.70</w:t>
            </w:r>
          </w:p>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w:t>
            </w:r>
            <w:r w:rsidRPr="00D96D61">
              <w:rPr>
                <w:rFonts w:ascii="Calibri" w:hAnsi="Calibri"/>
                <w:b/>
                <w:i/>
                <w:lang w:eastAsia="en-US"/>
              </w:rPr>
              <w:t xml:space="preserve">p </w:t>
            </w:r>
            <w:r w:rsidRPr="00D96D61">
              <w:rPr>
                <w:rFonts w:ascii="Calibri" w:hAnsi="Calibri"/>
                <w:b/>
                <w:lang w:eastAsia="en-US"/>
              </w:rPr>
              <w:t>= 0.016)*</w:t>
            </w:r>
          </w:p>
        </w:tc>
        <w:tc>
          <w:tcPr>
            <w:tcW w:w="2089"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27.9 ± 0.74</w:t>
            </w:r>
          </w:p>
        </w:tc>
        <w:tc>
          <w:tcPr>
            <w:tcW w:w="2089"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10.2 ± 0.56</w:t>
            </w:r>
          </w:p>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w:t>
            </w:r>
            <w:r w:rsidRPr="00D96D61">
              <w:rPr>
                <w:rFonts w:ascii="Calibri" w:hAnsi="Calibri"/>
                <w:b/>
                <w:i/>
                <w:lang w:eastAsia="en-US"/>
              </w:rPr>
              <w:t>p</w:t>
            </w:r>
            <w:r w:rsidRPr="00D96D61">
              <w:rPr>
                <w:rFonts w:ascii="Calibri" w:hAnsi="Calibri"/>
                <w:b/>
                <w:lang w:eastAsia="en-US"/>
              </w:rPr>
              <w:t xml:space="preserve"> = 0.003)*</w:t>
            </w:r>
          </w:p>
        </w:tc>
      </w:tr>
      <w:tr w:rsidR="00FD1E7C" w:rsidRPr="00253B48" w:rsidTr="00BC5B08">
        <w:trPr>
          <w:trHeight w:val="609"/>
        </w:trPr>
        <w:tc>
          <w:tcPr>
            <w:tcW w:w="2810" w:type="dxa"/>
            <w:vMerge/>
            <w:tcBorders>
              <w:bottom w:val="single" w:sz="4" w:space="0" w:color="auto"/>
            </w:tcBorders>
            <w:vAlign w:val="center"/>
          </w:tcPr>
          <w:p w:rsidR="00FD1E7C" w:rsidRPr="00D96D61" w:rsidRDefault="00FD1E7C" w:rsidP="00BC5B08">
            <w:pPr>
              <w:spacing w:line="480" w:lineRule="auto"/>
              <w:rPr>
                <w:rFonts w:ascii="Calibri" w:hAnsi="Calibri"/>
                <w:lang w:eastAsia="en-US"/>
              </w:rPr>
            </w:pPr>
          </w:p>
        </w:tc>
        <w:tc>
          <w:tcPr>
            <w:tcW w:w="2245" w:type="dxa"/>
            <w:tcBorders>
              <w:bottom w:val="sing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25 µM NIM</w:t>
            </w:r>
          </w:p>
        </w:tc>
        <w:tc>
          <w:tcPr>
            <w:tcW w:w="2058" w:type="dxa"/>
            <w:tcBorders>
              <w:bottom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60.1 ± 0.35</w:t>
            </w:r>
          </w:p>
          <w:p w:rsidR="00FD1E7C" w:rsidRPr="00D96D61" w:rsidRDefault="00FD1E7C" w:rsidP="00BC5B08">
            <w:pPr>
              <w:spacing w:line="480" w:lineRule="auto"/>
              <w:jc w:val="center"/>
              <w:rPr>
                <w:rFonts w:ascii="Calibri" w:hAnsi="Calibri"/>
                <w:b/>
                <w:lang w:eastAsia="en-US"/>
              </w:rPr>
            </w:pPr>
            <w:r w:rsidRPr="00D96D61">
              <w:rPr>
                <w:rFonts w:ascii="Calibri" w:hAnsi="Calibri"/>
                <w:b/>
                <w:lang w:eastAsia="en-US"/>
              </w:rPr>
              <w:t>(</w:t>
            </w:r>
            <w:r w:rsidRPr="00D96D61">
              <w:rPr>
                <w:rFonts w:ascii="Calibri" w:hAnsi="Calibri"/>
                <w:b/>
                <w:i/>
                <w:lang w:eastAsia="en-US"/>
              </w:rPr>
              <w:t>p</w:t>
            </w:r>
            <w:r w:rsidRPr="00D96D61">
              <w:rPr>
                <w:rFonts w:ascii="Calibri" w:hAnsi="Calibri"/>
                <w:b/>
                <w:lang w:eastAsia="en-US"/>
              </w:rPr>
              <w:t xml:space="preserve"> = 0.021)*</w:t>
            </w:r>
          </w:p>
        </w:tc>
        <w:tc>
          <w:tcPr>
            <w:tcW w:w="2089" w:type="dxa"/>
            <w:tcBorders>
              <w:bottom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26.3 ± 2.19</w:t>
            </w:r>
          </w:p>
        </w:tc>
        <w:tc>
          <w:tcPr>
            <w:tcW w:w="2089" w:type="dxa"/>
            <w:tcBorders>
              <w:bottom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12.5 ± 2.04</w:t>
            </w:r>
          </w:p>
        </w:tc>
      </w:tr>
      <w:tr w:rsidR="00FD1E7C" w:rsidRPr="00253B48" w:rsidTr="00BC5B08">
        <w:trPr>
          <w:trHeight w:val="609"/>
        </w:trPr>
        <w:tc>
          <w:tcPr>
            <w:tcW w:w="2810" w:type="dxa"/>
            <w:vMerge w:val="restart"/>
            <w:tcBorders>
              <w:top w:val="sing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MPS II fibroblasts</w:t>
            </w:r>
          </w:p>
        </w:tc>
        <w:tc>
          <w:tcPr>
            <w:tcW w:w="2245" w:type="dxa"/>
            <w:tcBorders>
              <w:top w:val="sing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Control</w:t>
            </w:r>
          </w:p>
        </w:tc>
        <w:tc>
          <w:tcPr>
            <w:tcW w:w="2058" w:type="dxa"/>
            <w:tcBorders>
              <w:top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66.1 ± 1.80</w:t>
            </w:r>
          </w:p>
        </w:tc>
        <w:tc>
          <w:tcPr>
            <w:tcW w:w="2089" w:type="dxa"/>
            <w:tcBorders>
              <w:top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21.8 ± 0.95</w:t>
            </w:r>
          </w:p>
        </w:tc>
        <w:tc>
          <w:tcPr>
            <w:tcW w:w="2089" w:type="dxa"/>
            <w:tcBorders>
              <w:top w:val="sing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10.7 ± 1.81</w:t>
            </w:r>
          </w:p>
        </w:tc>
      </w:tr>
      <w:tr w:rsidR="00FD1E7C" w:rsidRPr="00253B48" w:rsidTr="00BC5B08">
        <w:trPr>
          <w:trHeight w:val="609"/>
        </w:trPr>
        <w:tc>
          <w:tcPr>
            <w:tcW w:w="2810" w:type="dxa"/>
            <w:vMerge/>
          </w:tcPr>
          <w:p w:rsidR="00FD1E7C" w:rsidRPr="00D96D61" w:rsidRDefault="00FD1E7C" w:rsidP="00BC5B08">
            <w:pPr>
              <w:spacing w:line="480" w:lineRule="auto"/>
              <w:rPr>
                <w:rFonts w:ascii="Calibri" w:hAnsi="Calibri"/>
                <w:lang w:eastAsia="en-US"/>
              </w:rPr>
            </w:pPr>
          </w:p>
        </w:tc>
        <w:tc>
          <w:tcPr>
            <w:tcW w:w="2245" w:type="dxa"/>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10 µM IN</w:t>
            </w:r>
          </w:p>
        </w:tc>
        <w:tc>
          <w:tcPr>
            <w:tcW w:w="2058"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67.4 ± 1.27</w:t>
            </w:r>
          </w:p>
        </w:tc>
        <w:tc>
          <w:tcPr>
            <w:tcW w:w="2089"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20.2 ± 3.72</w:t>
            </w:r>
          </w:p>
        </w:tc>
        <w:tc>
          <w:tcPr>
            <w:tcW w:w="2089" w:type="dxa"/>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10.9 ± 4.89</w:t>
            </w:r>
          </w:p>
        </w:tc>
      </w:tr>
      <w:tr w:rsidR="00FD1E7C" w:rsidRPr="00253B48" w:rsidTr="00BC5B08">
        <w:trPr>
          <w:trHeight w:val="609"/>
        </w:trPr>
        <w:tc>
          <w:tcPr>
            <w:tcW w:w="2810" w:type="dxa"/>
            <w:vMerge/>
            <w:tcBorders>
              <w:bottom w:val="double" w:sz="4" w:space="0" w:color="auto"/>
            </w:tcBorders>
          </w:tcPr>
          <w:p w:rsidR="00FD1E7C" w:rsidRPr="00D96D61" w:rsidRDefault="00FD1E7C" w:rsidP="00BC5B08">
            <w:pPr>
              <w:spacing w:line="480" w:lineRule="auto"/>
              <w:rPr>
                <w:rFonts w:ascii="Calibri" w:hAnsi="Calibri"/>
                <w:lang w:eastAsia="en-US"/>
              </w:rPr>
            </w:pPr>
          </w:p>
        </w:tc>
        <w:tc>
          <w:tcPr>
            <w:tcW w:w="2245" w:type="dxa"/>
            <w:tcBorders>
              <w:bottom w:val="double" w:sz="4" w:space="0" w:color="auto"/>
            </w:tcBorders>
            <w:vAlign w:val="center"/>
          </w:tcPr>
          <w:p w:rsidR="00FD1E7C" w:rsidRPr="00D96D61" w:rsidRDefault="00FD1E7C" w:rsidP="00BC5B08">
            <w:pPr>
              <w:spacing w:line="480" w:lineRule="auto"/>
              <w:rPr>
                <w:rFonts w:ascii="Calibri" w:hAnsi="Calibri"/>
                <w:lang w:eastAsia="en-US"/>
              </w:rPr>
            </w:pPr>
            <w:r w:rsidRPr="00D96D61">
              <w:rPr>
                <w:rFonts w:ascii="Calibri" w:hAnsi="Calibri"/>
                <w:lang w:eastAsia="en-US"/>
              </w:rPr>
              <w:t>25 µM NIM</w:t>
            </w:r>
          </w:p>
        </w:tc>
        <w:tc>
          <w:tcPr>
            <w:tcW w:w="2058" w:type="dxa"/>
            <w:tcBorders>
              <w:bottom w:val="doub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66.5 ± 0.21</w:t>
            </w:r>
          </w:p>
        </w:tc>
        <w:tc>
          <w:tcPr>
            <w:tcW w:w="2089" w:type="dxa"/>
            <w:tcBorders>
              <w:bottom w:val="doub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21.5 ± 3.15</w:t>
            </w:r>
          </w:p>
        </w:tc>
        <w:tc>
          <w:tcPr>
            <w:tcW w:w="2089" w:type="dxa"/>
            <w:tcBorders>
              <w:bottom w:val="double" w:sz="4" w:space="0" w:color="auto"/>
            </w:tcBorders>
            <w:vAlign w:val="center"/>
          </w:tcPr>
          <w:p w:rsidR="00FD1E7C" w:rsidRPr="00D96D61" w:rsidRDefault="00FD1E7C" w:rsidP="00BC5B08">
            <w:pPr>
              <w:spacing w:line="480" w:lineRule="auto"/>
              <w:jc w:val="center"/>
              <w:rPr>
                <w:rFonts w:ascii="Calibri" w:hAnsi="Calibri"/>
                <w:lang w:eastAsia="en-US"/>
              </w:rPr>
            </w:pPr>
            <w:r w:rsidRPr="00D96D61">
              <w:rPr>
                <w:rFonts w:ascii="Calibri" w:hAnsi="Calibri"/>
                <w:lang w:eastAsia="en-US"/>
              </w:rPr>
              <w:t>10.0 ± 3.60</w:t>
            </w:r>
          </w:p>
        </w:tc>
      </w:tr>
    </w:tbl>
    <w:p w:rsidR="00FD1E7C" w:rsidRDefault="006C4E42" w:rsidP="00A062AF">
      <w:pPr>
        <w:rPr>
          <w:lang w:val="en-US"/>
        </w:rPr>
      </w:pPr>
      <w:r>
        <w:rPr>
          <w:lang w:val="en-US"/>
        </w:rPr>
        <w:fldChar w:fldCharType="begin"/>
      </w:r>
      <w:r w:rsidR="00FD1E7C">
        <w:rPr>
          <w:lang w:val="en-US"/>
        </w:rPr>
        <w:instrText xml:space="preserve"> ADDIN EN.REFLIST </w:instrText>
      </w:r>
      <w:r>
        <w:rPr>
          <w:lang w:val="en-US"/>
        </w:rPr>
        <w:fldChar w:fldCharType="end"/>
      </w:r>
    </w:p>
    <w:sectPr w:rsidR="00FD1E7C" w:rsidSect="00F610C1">
      <w:footerReference w:type="default" r:id="rId9"/>
      <w:pgSz w:w="11906" w:h="16838"/>
      <w:pgMar w:top="1418" w:right="1418" w:bottom="1418" w:left="1418"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B3C" w:rsidRDefault="00D53B3C" w:rsidP="00263102">
      <w:r>
        <w:separator/>
      </w:r>
    </w:p>
  </w:endnote>
  <w:endnote w:type="continuationSeparator" w:id="0">
    <w:p w:rsidR="00D53B3C" w:rsidRDefault="00D53B3C" w:rsidP="002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7B" w:rsidRDefault="006C4E42">
    <w:pPr>
      <w:pStyle w:val="Footer"/>
      <w:jc w:val="center"/>
    </w:pPr>
    <w:r>
      <w:fldChar w:fldCharType="begin"/>
    </w:r>
    <w:r w:rsidR="003A70BA">
      <w:instrText xml:space="preserve"> PAGE   \* MERGEFORMAT </w:instrText>
    </w:r>
    <w:r>
      <w:fldChar w:fldCharType="separate"/>
    </w:r>
    <w:r w:rsidR="002A5749">
      <w:rPr>
        <w:noProof/>
      </w:rPr>
      <w:t>1</w:t>
    </w:r>
    <w:r>
      <w:rPr>
        <w:noProof/>
      </w:rPr>
      <w:fldChar w:fldCharType="end"/>
    </w:r>
  </w:p>
  <w:p w:rsidR="00787B7B" w:rsidRDefault="00787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B3C" w:rsidRDefault="00D53B3C" w:rsidP="00263102">
      <w:r>
        <w:separator/>
      </w:r>
    </w:p>
  </w:footnote>
  <w:footnote w:type="continuationSeparator" w:id="0">
    <w:p w:rsidR="00D53B3C" w:rsidRDefault="00D53B3C" w:rsidP="00263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DCD6AD56"/>
    <w:name w:val="WW8Num4"/>
    <w:lvl w:ilvl="0">
      <w:start w:val="1"/>
      <w:numFmt w:val="decimal"/>
      <w:lvlText w:val="%1."/>
      <w:lvlJc w:val="left"/>
      <w:pPr>
        <w:tabs>
          <w:tab w:val="num" w:pos="720"/>
        </w:tabs>
        <w:ind w:left="720" w:hanging="360"/>
      </w:pPr>
      <w:rPr>
        <w:rFonts w:cs="Times New Roman"/>
        <w:b w:val="0"/>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5" w15:restartNumberingAfterBreak="0">
    <w:nsid w:val="2CF15691"/>
    <w:multiLevelType w:val="hybridMultilevel"/>
    <w:tmpl w:val="77D0D8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55076F"/>
    <w:multiLevelType w:val="hybridMultilevel"/>
    <w:tmpl w:val="CDE6A75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5F812CA6"/>
    <w:multiLevelType w:val="hybridMultilevel"/>
    <w:tmpl w:val="B596B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vp0ffr01rsapye05sfvef9kwpt2a2t0exd5&quot;&gt;My EndNote Library&lt;record-ids&gt;&lt;item&gt;26102&lt;/item&gt;&lt;/record-ids&gt;&lt;/item&gt;&lt;/Libraries&gt;"/>
  </w:docVars>
  <w:rsids>
    <w:rsidRoot w:val="00A90C54"/>
    <w:rsid w:val="00000136"/>
    <w:rsid w:val="00000154"/>
    <w:rsid w:val="00001BD7"/>
    <w:rsid w:val="00001EC0"/>
    <w:rsid w:val="00002198"/>
    <w:rsid w:val="00002A8A"/>
    <w:rsid w:val="00003F3B"/>
    <w:rsid w:val="00010964"/>
    <w:rsid w:val="00010BDD"/>
    <w:rsid w:val="00011370"/>
    <w:rsid w:val="00012722"/>
    <w:rsid w:val="000149CE"/>
    <w:rsid w:val="0001502C"/>
    <w:rsid w:val="00015C14"/>
    <w:rsid w:val="00015F85"/>
    <w:rsid w:val="00016393"/>
    <w:rsid w:val="00016559"/>
    <w:rsid w:val="00016C91"/>
    <w:rsid w:val="00017473"/>
    <w:rsid w:val="000176CC"/>
    <w:rsid w:val="00017DEF"/>
    <w:rsid w:val="000210DB"/>
    <w:rsid w:val="000232B1"/>
    <w:rsid w:val="0002357A"/>
    <w:rsid w:val="00024F7A"/>
    <w:rsid w:val="0002539A"/>
    <w:rsid w:val="0002633F"/>
    <w:rsid w:val="00027683"/>
    <w:rsid w:val="00030F02"/>
    <w:rsid w:val="000318F5"/>
    <w:rsid w:val="000333E7"/>
    <w:rsid w:val="000336DE"/>
    <w:rsid w:val="00034605"/>
    <w:rsid w:val="00034953"/>
    <w:rsid w:val="00035FDE"/>
    <w:rsid w:val="0004174C"/>
    <w:rsid w:val="0004255F"/>
    <w:rsid w:val="00043003"/>
    <w:rsid w:val="00045BF1"/>
    <w:rsid w:val="00047687"/>
    <w:rsid w:val="0005018B"/>
    <w:rsid w:val="0005103D"/>
    <w:rsid w:val="00051AF2"/>
    <w:rsid w:val="00054497"/>
    <w:rsid w:val="00054629"/>
    <w:rsid w:val="00055C38"/>
    <w:rsid w:val="00055DA5"/>
    <w:rsid w:val="0005734F"/>
    <w:rsid w:val="000578AE"/>
    <w:rsid w:val="00060141"/>
    <w:rsid w:val="00060D53"/>
    <w:rsid w:val="00061CBD"/>
    <w:rsid w:val="0006251A"/>
    <w:rsid w:val="00063AC3"/>
    <w:rsid w:val="00065AC6"/>
    <w:rsid w:val="00066174"/>
    <w:rsid w:val="00066649"/>
    <w:rsid w:val="0006699F"/>
    <w:rsid w:val="000669F0"/>
    <w:rsid w:val="00070C95"/>
    <w:rsid w:val="00070FFE"/>
    <w:rsid w:val="00072783"/>
    <w:rsid w:val="00072A0A"/>
    <w:rsid w:val="0007330D"/>
    <w:rsid w:val="00073964"/>
    <w:rsid w:val="0007485F"/>
    <w:rsid w:val="0007572A"/>
    <w:rsid w:val="000758B5"/>
    <w:rsid w:val="00082F89"/>
    <w:rsid w:val="00082FE9"/>
    <w:rsid w:val="00086967"/>
    <w:rsid w:val="00090107"/>
    <w:rsid w:val="00091D7F"/>
    <w:rsid w:val="000921F4"/>
    <w:rsid w:val="00095124"/>
    <w:rsid w:val="00096CE6"/>
    <w:rsid w:val="000A02EA"/>
    <w:rsid w:val="000A076E"/>
    <w:rsid w:val="000A1952"/>
    <w:rsid w:val="000A2699"/>
    <w:rsid w:val="000A3797"/>
    <w:rsid w:val="000A45E9"/>
    <w:rsid w:val="000A6B02"/>
    <w:rsid w:val="000A70E7"/>
    <w:rsid w:val="000A75B3"/>
    <w:rsid w:val="000B12BD"/>
    <w:rsid w:val="000B28F0"/>
    <w:rsid w:val="000B32E1"/>
    <w:rsid w:val="000B3314"/>
    <w:rsid w:val="000B3790"/>
    <w:rsid w:val="000B4070"/>
    <w:rsid w:val="000B4242"/>
    <w:rsid w:val="000B4B05"/>
    <w:rsid w:val="000B4E11"/>
    <w:rsid w:val="000B5007"/>
    <w:rsid w:val="000B51B8"/>
    <w:rsid w:val="000B6716"/>
    <w:rsid w:val="000B7CCB"/>
    <w:rsid w:val="000C0AFD"/>
    <w:rsid w:val="000C2BB9"/>
    <w:rsid w:val="000C2D12"/>
    <w:rsid w:val="000C319D"/>
    <w:rsid w:val="000C342D"/>
    <w:rsid w:val="000C3547"/>
    <w:rsid w:val="000C374D"/>
    <w:rsid w:val="000C4322"/>
    <w:rsid w:val="000C756B"/>
    <w:rsid w:val="000D07D9"/>
    <w:rsid w:val="000D1544"/>
    <w:rsid w:val="000D236F"/>
    <w:rsid w:val="000D30F7"/>
    <w:rsid w:val="000D54D9"/>
    <w:rsid w:val="000D5819"/>
    <w:rsid w:val="000D7581"/>
    <w:rsid w:val="000E3D16"/>
    <w:rsid w:val="000E5CEE"/>
    <w:rsid w:val="000E6FE9"/>
    <w:rsid w:val="000F08BB"/>
    <w:rsid w:val="000F35AB"/>
    <w:rsid w:val="000F36E4"/>
    <w:rsid w:val="000F619C"/>
    <w:rsid w:val="000F634F"/>
    <w:rsid w:val="000F74E4"/>
    <w:rsid w:val="000F7866"/>
    <w:rsid w:val="00100113"/>
    <w:rsid w:val="00101678"/>
    <w:rsid w:val="00101820"/>
    <w:rsid w:val="00101BB3"/>
    <w:rsid w:val="00101F4E"/>
    <w:rsid w:val="0010276E"/>
    <w:rsid w:val="00104A4F"/>
    <w:rsid w:val="00104BEC"/>
    <w:rsid w:val="00107666"/>
    <w:rsid w:val="00107D18"/>
    <w:rsid w:val="00110846"/>
    <w:rsid w:val="001112D6"/>
    <w:rsid w:val="0011145B"/>
    <w:rsid w:val="0011172A"/>
    <w:rsid w:val="0011247B"/>
    <w:rsid w:val="0011289B"/>
    <w:rsid w:val="00112EA8"/>
    <w:rsid w:val="0011434D"/>
    <w:rsid w:val="00114B3B"/>
    <w:rsid w:val="00114D65"/>
    <w:rsid w:val="00114F71"/>
    <w:rsid w:val="00120209"/>
    <w:rsid w:val="00121297"/>
    <w:rsid w:val="00121326"/>
    <w:rsid w:val="0012165F"/>
    <w:rsid w:val="00122A17"/>
    <w:rsid w:val="001237D4"/>
    <w:rsid w:val="00123A95"/>
    <w:rsid w:val="00123F84"/>
    <w:rsid w:val="0012592C"/>
    <w:rsid w:val="0013233E"/>
    <w:rsid w:val="00132952"/>
    <w:rsid w:val="00134F2C"/>
    <w:rsid w:val="00136523"/>
    <w:rsid w:val="00137094"/>
    <w:rsid w:val="00141C26"/>
    <w:rsid w:val="00142E0A"/>
    <w:rsid w:val="00143065"/>
    <w:rsid w:val="00143DDC"/>
    <w:rsid w:val="0014498B"/>
    <w:rsid w:val="00144F52"/>
    <w:rsid w:val="00146FB4"/>
    <w:rsid w:val="00150E13"/>
    <w:rsid w:val="00152716"/>
    <w:rsid w:val="001529F6"/>
    <w:rsid w:val="0015317C"/>
    <w:rsid w:val="001535F0"/>
    <w:rsid w:val="00153B62"/>
    <w:rsid w:val="001542E3"/>
    <w:rsid w:val="0015531A"/>
    <w:rsid w:val="00155C1A"/>
    <w:rsid w:val="00156337"/>
    <w:rsid w:val="001565B2"/>
    <w:rsid w:val="00157342"/>
    <w:rsid w:val="0015777D"/>
    <w:rsid w:val="00160EE5"/>
    <w:rsid w:val="001624EF"/>
    <w:rsid w:val="00162E3F"/>
    <w:rsid w:val="001673A6"/>
    <w:rsid w:val="00167444"/>
    <w:rsid w:val="0016774C"/>
    <w:rsid w:val="0016782B"/>
    <w:rsid w:val="00170F08"/>
    <w:rsid w:val="001719B9"/>
    <w:rsid w:val="0017506B"/>
    <w:rsid w:val="0017524C"/>
    <w:rsid w:val="001754A2"/>
    <w:rsid w:val="00175E8C"/>
    <w:rsid w:val="00176A53"/>
    <w:rsid w:val="001807B7"/>
    <w:rsid w:val="00180A28"/>
    <w:rsid w:val="00180D7F"/>
    <w:rsid w:val="001812C0"/>
    <w:rsid w:val="00181FB0"/>
    <w:rsid w:val="00182923"/>
    <w:rsid w:val="00184ABC"/>
    <w:rsid w:val="00187311"/>
    <w:rsid w:val="00190221"/>
    <w:rsid w:val="00192F33"/>
    <w:rsid w:val="00193188"/>
    <w:rsid w:val="00193263"/>
    <w:rsid w:val="001935C2"/>
    <w:rsid w:val="001936B2"/>
    <w:rsid w:val="00194662"/>
    <w:rsid w:val="0019573F"/>
    <w:rsid w:val="00196838"/>
    <w:rsid w:val="001977B4"/>
    <w:rsid w:val="001A0089"/>
    <w:rsid w:val="001A0502"/>
    <w:rsid w:val="001A0B40"/>
    <w:rsid w:val="001A738A"/>
    <w:rsid w:val="001B0738"/>
    <w:rsid w:val="001B24B8"/>
    <w:rsid w:val="001B2F8E"/>
    <w:rsid w:val="001B3ABE"/>
    <w:rsid w:val="001B406E"/>
    <w:rsid w:val="001B5BEC"/>
    <w:rsid w:val="001C0436"/>
    <w:rsid w:val="001C048D"/>
    <w:rsid w:val="001C2CFB"/>
    <w:rsid w:val="001C3237"/>
    <w:rsid w:val="001C34ED"/>
    <w:rsid w:val="001C5288"/>
    <w:rsid w:val="001C5463"/>
    <w:rsid w:val="001C562F"/>
    <w:rsid w:val="001D0003"/>
    <w:rsid w:val="001D15D8"/>
    <w:rsid w:val="001D26CD"/>
    <w:rsid w:val="001D3FC1"/>
    <w:rsid w:val="001D592A"/>
    <w:rsid w:val="001D5E4B"/>
    <w:rsid w:val="001D71A9"/>
    <w:rsid w:val="001D72D9"/>
    <w:rsid w:val="001E31C9"/>
    <w:rsid w:val="001E3424"/>
    <w:rsid w:val="001E57CB"/>
    <w:rsid w:val="001E5E6D"/>
    <w:rsid w:val="001E60B5"/>
    <w:rsid w:val="001E61DA"/>
    <w:rsid w:val="001E724F"/>
    <w:rsid w:val="001F0015"/>
    <w:rsid w:val="001F04A9"/>
    <w:rsid w:val="001F0CCB"/>
    <w:rsid w:val="001F37B8"/>
    <w:rsid w:val="001F5122"/>
    <w:rsid w:val="001F56C5"/>
    <w:rsid w:val="00201007"/>
    <w:rsid w:val="0020137C"/>
    <w:rsid w:val="00201416"/>
    <w:rsid w:val="002014CE"/>
    <w:rsid w:val="00203CAE"/>
    <w:rsid w:val="00204280"/>
    <w:rsid w:val="00204BF7"/>
    <w:rsid w:val="00204D89"/>
    <w:rsid w:val="00205566"/>
    <w:rsid w:val="00205A3B"/>
    <w:rsid w:val="00206B49"/>
    <w:rsid w:val="00207838"/>
    <w:rsid w:val="00207EDE"/>
    <w:rsid w:val="00210921"/>
    <w:rsid w:val="0021190F"/>
    <w:rsid w:val="00215D1F"/>
    <w:rsid w:val="00216CDC"/>
    <w:rsid w:val="00216FA7"/>
    <w:rsid w:val="00220518"/>
    <w:rsid w:val="00220799"/>
    <w:rsid w:val="00221BB9"/>
    <w:rsid w:val="00222D8C"/>
    <w:rsid w:val="0022376D"/>
    <w:rsid w:val="0022420F"/>
    <w:rsid w:val="002244FD"/>
    <w:rsid w:val="00230D3D"/>
    <w:rsid w:val="002312A8"/>
    <w:rsid w:val="00231413"/>
    <w:rsid w:val="00231B67"/>
    <w:rsid w:val="00231D5A"/>
    <w:rsid w:val="00232323"/>
    <w:rsid w:val="00232AAD"/>
    <w:rsid w:val="00232B1A"/>
    <w:rsid w:val="002339D2"/>
    <w:rsid w:val="00233A58"/>
    <w:rsid w:val="00234D9A"/>
    <w:rsid w:val="00235C3A"/>
    <w:rsid w:val="0023640B"/>
    <w:rsid w:val="0024179A"/>
    <w:rsid w:val="00243BD0"/>
    <w:rsid w:val="00244AEB"/>
    <w:rsid w:val="00245209"/>
    <w:rsid w:val="00246371"/>
    <w:rsid w:val="00246C16"/>
    <w:rsid w:val="00246D61"/>
    <w:rsid w:val="002473F2"/>
    <w:rsid w:val="00252927"/>
    <w:rsid w:val="002534B1"/>
    <w:rsid w:val="00253B48"/>
    <w:rsid w:val="00254033"/>
    <w:rsid w:val="002544C1"/>
    <w:rsid w:val="002568DD"/>
    <w:rsid w:val="002577B7"/>
    <w:rsid w:val="00261059"/>
    <w:rsid w:val="002625F7"/>
    <w:rsid w:val="00262E15"/>
    <w:rsid w:val="00263102"/>
    <w:rsid w:val="0026320E"/>
    <w:rsid w:val="00265941"/>
    <w:rsid w:val="00266A76"/>
    <w:rsid w:val="002701C2"/>
    <w:rsid w:val="00271CB5"/>
    <w:rsid w:val="002724A2"/>
    <w:rsid w:val="002745CF"/>
    <w:rsid w:val="00274E5E"/>
    <w:rsid w:val="00275B2E"/>
    <w:rsid w:val="00280716"/>
    <w:rsid w:val="0028084E"/>
    <w:rsid w:val="002818D7"/>
    <w:rsid w:val="002822EC"/>
    <w:rsid w:val="00282416"/>
    <w:rsid w:val="00282EE6"/>
    <w:rsid w:val="00283E71"/>
    <w:rsid w:val="00284872"/>
    <w:rsid w:val="00285EB9"/>
    <w:rsid w:val="00285F41"/>
    <w:rsid w:val="00286057"/>
    <w:rsid w:val="00290075"/>
    <w:rsid w:val="0029019F"/>
    <w:rsid w:val="00290F59"/>
    <w:rsid w:val="0029148E"/>
    <w:rsid w:val="002916BF"/>
    <w:rsid w:val="002917FB"/>
    <w:rsid w:val="00291F72"/>
    <w:rsid w:val="00292EA9"/>
    <w:rsid w:val="00292F7F"/>
    <w:rsid w:val="002944AD"/>
    <w:rsid w:val="0029593D"/>
    <w:rsid w:val="002A07E2"/>
    <w:rsid w:val="002A1471"/>
    <w:rsid w:val="002A3448"/>
    <w:rsid w:val="002A3616"/>
    <w:rsid w:val="002A3832"/>
    <w:rsid w:val="002A41EB"/>
    <w:rsid w:val="002A4732"/>
    <w:rsid w:val="002A4BB9"/>
    <w:rsid w:val="002A5749"/>
    <w:rsid w:val="002A6863"/>
    <w:rsid w:val="002A6B92"/>
    <w:rsid w:val="002A7BC0"/>
    <w:rsid w:val="002B1ED2"/>
    <w:rsid w:val="002B276E"/>
    <w:rsid w:val="002B2DED"/>
    <w:rsid w:val="002B39D0"/>
    <w:rsid w:val="002B46A7"/>
    <w:rsid w:val="002B4FEF"/>
    <w:rsid w:val="002B711D"/>
    <w:rsid w:val="002B7165"/>
    <w:rsid w:val="002B718E"/>
    <w:rsid w:val="002B7BAA"/>
    <w:rsid w:val="002B7F8D"/>
    <w:rsid w:val="002C0C90"/>
    <w:rsid w:val="002C20B2"/>
    <w:rsid w:val="002C2732"/>
    <w:rsid w:val="002C2CCD"/>
    <w:rsid w:val="002C3020"/>
    <w:rsid w:val="002C4766"/>
    <w:rsid w:val="002C576B"/>
    <w:rsid w:val="002C5A4A"/>
    <w:rsid w:val="002C60AE"/>
    <w:rsid w:val="002C6240"/>
    <w:rsid w:val="002D5D3D"/>
    <w:rsid w:val="002D60A2"/>
    <w:rsid w:val="002D6EDC"/>
    <w:rsid w:val="002E09FD"/>
    <w:rsid w:val="002E148D"/>
    <w:rsid w:val="002E1D01"/>
    <w:rsid w:val="002E21B6"/>
    <w:rsid w:val="002E2606"/>
    <w:rsid w:val="002E26E5"/>
    <w:rsid w:val="002E4139"/>
    <w:rsid w:val="002E4A5A"/>
    <w:rsid w:val="002E5343"/>
    <w:rsid w:val="002E5914"/>
    <w:rsid w:val="002E5D08"/>
    <w:rsid w:val="002E6C37"/>
    <w:rsid w:val="002E6F8C"/>
    <w:rsid w:val="002F0280"/>
    <w:rsid w:val="002F065B"/>
    <w:rsid w:val="002F0B93"/>
    <w:rsid w:val="002F0E02"/>
    <w:rsid w:val="002F1E09"/>
    <w:rsid w:val="002F25BF"/>
    <w:rsid w:val="002F3986"/>
    <w:rsid w:val="002F3CA4"/>
    <w:rsid w:val="002F4A82"/>
    <w:rsid w:val="002F63F1"/>
    <w:rsid w:val="002F6F9A"/>
    <w:rsid w:val="002F7045"/>
    <w:rsid w:val="002F709E"/>
    <w:rsid w:val="002F799F"/>
    <w:rsid w:val="00301688"/>
    <w:rsid w:val="00303C7E"/>
    <w:rsid w:val="00307D77"/>
    <w:rsid w:val="0031054B"/>
    <w:rsid w:val="003107AB"/>
    <w:rsid w:val="0031184B"/>
    <w:rsid w:val="00314239"/>
    <w:rsid w:val="00315924"/>
    <w:rsid w:val="0032163E"/>
    <w:rsid w:val="003216AA"/>
    <w:rsid w:val="00321ED6"/>
    <w:rsid w:val="00322427"/>
    <w:rsid w:val="00322CE7"/>
    <w:rsid w:val="00323267"/>
    <w:rsid w:val="00324207"/>
    <w:rsid w:val="00326031"/>
    <w:rsid w:val="00330F99"/>
    <w:rsid w:val="003334C6"/>
    <w:rsid w:val="0033424B"/>
    <w:rsid w:val="003352F2"/>
    <w:rsid w:val="00335310"/>
    <w:rsid w:val="00335F3D"/>
    <w:rsid w:val="00336813"/>
    <w:rsid w:val="0034161A"/>
    <w:rsid w:val="00341E0B"/>
    <w:rsid w:val="00342AC6"/>
    <w:rsid w:val="00342D33"/>
    <w:rsid w:val="00343245"/>
    <w:rsid w:val="00343962"/>
    <w:rsid w:val="00345355"/>
    <w:rsid w:val="00345428"/>
    <w:rsid w:val="0034568D"/>
    <w:rsid w:val="003467FB"/>
    <w:rsid w:val="0034697D"/>
    <w:rsid w:val="00350709"/>
    <w:rsid w:val="003525A9"/>
    <w:rsid w:val="003528FC"/>
    <w:rsid w:val="00352C50"/>
    <w:rsid w:val="00353D64"/>
    <w:rsid w:val="003556F1"/>
    <w:rsid w:val="00355E19"/>
    <w:rsid w:val="003560A4"/>
    <w:rsid w:val="003578FB"/>
    <w:rsid w:val="00361165"/>
    <w:rsid w:val="00361C85"/>
    <w:rsid w:val="0036279E"/>
    <w:rsid w:val="00362F7B"/>
    <w:rsid w:val="00366430"/>
    <w:rsid w:val="00366890"/>
    <w:rsid w:val="003674D4"/>
    <w:rsid w:val="00367AC1"/>
    <w:rsid w:val="00370525"/>
    <w:rsid w:val="0037063F"/>
    <w:rsid w:val="00370BE7"/>
    <w:rsid w:val="00371327"/>
    <w:rsid w:val="0037163A"/>
    <w:rsid w:val="00371A10"/>
    <w:rsid w:val="00371F12"/>
    <w:rsid w:val="00373DB2"/>
    <w:rsid w:val="0037411F"/>
    <w:rsid w:val="00374C21"/>
    <w:rsid w:val="00375CB0"/>
    <w:rsid w:val="003773D3"/>
    <w:rsid w:val="00377F6B"/>
    <w:rsid w:val="00383DE7"/>
    <w:rsid w:val="00383F49"/>
    <w:rsid w:val="00385FBF"/>
    <w:rsid w:val="003938E9"/>
    <w:rsid w:val="0039504E"/>
    <w:rsid w:val="00395DEB"/>
    <w:rsid w:val="003A1C35"/>
    <w:rsid w:val="003A3BA3"/>
    <w:rsid w:val="003A58A4"/>
    <w:rsid w:val="003A6161"/>
    <w:rsid w:val="003A635C"/>
    <w:rsid w:val="003A70BA"/>
    <w:rsid w:val="003A7C55"/>
    <w:rsid w:val="003A7F93"/>
    <w:rsid w:val="003B0F5B"/>
    <w:rsid w:val="003B1F04"/>
    <w:rsid w:val="003B499E"/>
    <w:rsid w:val="003B6069"/>
    <w:rsid w:val="003B6A13"/>
    <w:rsid w:val="003B7343"/>
    <w:rsid w:val="003C02DA"/>
    <w:rsid w:val="003C0F7F"/>
    <w:rsid w:val="003C17DD"/>
    <w:rsid w:val="003C1DDB"/>
    <w:rsid w:val="003C1F76"/>
    <w:rsid w:val="003C2045"/>
    <w:rsid w:val="003C286A"/>
    <w:rsid w:val="003C53DF"/>
    <w:rsid w:val="003C5E61"/>
    <w:rsid w:val="003C7C4E"/>
    <w:rsid w:val="003D0603"/>
    <w:rsid w:val="003D2CEA"/>
    <w:rsid w:val="003D2DAC"/>
    <w:rsid w:val="003D2FA9"/>
    <w:rsid w:val="003D526B"/>
    <w:rsid w:val="003D5A16"/>
    <w:rsid w:val="003E0968"/>
    <w:rsid w:val="003E1EEB"/>
    <w:rsid w:val="003E2193"/>
    <w:rsid w:val="003E35F9"/>
    <w:rsid w:val="003E6D66"/>
    <w:rsid w:val="003F156B"/>
    <w:rsid w:val="003F4252"/>
    <w:rsid w:val="003F4B7B"/>
    <w:rsid w:val="003F5120"/>
    <w:rsid w:val="003F5A3B"/>
    <w:rsid w:val="003F5ACB"/>
    <w:rsid w:val="003F5B20"/>
    <w:rsid w:val="003F676C"/>
    <w:rsid w:val="003F79AF"/>
    <w:rsid w:val="0040043E"/>
    <w:rsid w:val="004004BB"/>
    <w:rsid w:val="00401058"/>
    <w:rsid w:val="00401413"/>
    <w:rsid w:val="00401A09"/>
    <w:rsid w:val="004022A3"/>
    <w:rsid w:val="004022B3"/>
    <w:rsid w:val="00403567"/>
    <w:rsid w:val="00403DA8"/>
    <w:rsid w:val="004052AD"/>
    <w:rsid w:val="00405DBA"/>
    <w:rsid w:val="00407293"/>
    <w:rsid w:val="00410836"/>
    <w:rsid w:val="004118CD"/>
    <w:rsid w:val="00412B93"/>
    <w:rsid w:val="004172F1"/>
    <w:rsid w:val="00417911"/>
    <w:rsid w:val="004212CD"/>
    <w:rsid w:val="004230FE"/>
    <w:rsid w:val="004237E9"/>
    <w:rsid w:val="00423D35"/>
    <w:rsid w:val="004256FC"/>
    <w:rsid w:val="00425753"/>
    <w:rsid w:val="00425BFF"/>
    <w:rsid w:val="00425ED7"/>
    <w:rsid w:val="00426BF1"/>
    <w:rsid w:val="00430C66"/>
    <w:rsid w:val="00431DF8"/>
    <w:rsid w:val="00432223"/>
    <w:rsid w:val="004326C1"/>
    <w:rsid w:val="0043295C"/>
    <w:rsid w:val="0043310D"/>
    <w:rsid w:val="0043317D"/>
    <w:rsid w:val="004334E4"/>
    <w:rsid w:val="00433501"/>
    <w:rsid w:val="0043367D"/>
    <w:rsid w:val="0043420B"/>
    <w:rsid w:val="00434625"/>
    <w:rsid w:val="00437510"/>
    <w:rsid w:val="00437BC4"/>
    <w:rsid w:val="00442AE9"/>
    <w:rsid w:val="00442CC5"/>
    <w:rsid w:val="00442F0F"/>
    <w:rsid w:val="00445FE0"/>
    <w:rsid w:val="00446DC9"/>
    <w:rsid w:val="004471BA"/>
    <w:rsid w:val="00447493"/>
    <w:rsid w:val="004537DF"/>
    <w:rsid w:val="00456536"/>
    <w:rsid w:val="00457D29"/>
    <w:rsid w:val="00461C93"/>
    <w:rsid w:val="00461CB2"/>
    <w:rsid w:val="00463CC0"/>
    <w:rsid w:val="00463D52"/>
    <w:rsid w:val="00464C84"/>
    <w:rsid w:val="004666F4"/>
    <w:rsid w:val="00466BE4"/>
    <w:rsid w:val="00471411"/>
    <w:rsid w:val="004719AC"/>
    <w:rsid w:val="00472DE1"/>
    <w:rsid w:val="004756AE"/>
    <w:rsid w:val="00475981"/>
    <w:rsid w:val="00476B69"/>
    <w:rsid w:val="0047717E"/>
    <w:rsid w:val="00477E62"/>
    <w:rsid w:val="0048219C"/>
    <w:rsid w:val="00482660"/>
    <w:rsid w:val="00482692"/>
    <w:rsid w:val="00485988"/>
    <w:rsid w:val="00490023"/>
    <w:rsid w:val="0049060A"/>
    <w:rsid w:val="00490901"/>
    <w:rsid w:val="004912A9"/>
    <w:rsid w:val="00492AFD"/>
    <w:rsid w:val="00493181"/>
    <w:rsid w:val="00493904"/>
    <w:rsid w:val="00493C2A"/>
    <w:rsid w:val="00493FCC"/>
    <w:rsid w:val="0049470D"/>
    <w:rsid w:val="00494B65"/>
    <w:rsid w:val="00495431"/>
    <w:rsid w:val="00495491"/>
    <w:rsid w:val="00496813"/>
    <w:rsid w:val="00497368"/>
    <w:rsid w:val="00497B06"/>
    <w:rsid w:val="004A10EA"/>
    <w:rsid w:val="004A1E0B"/>
    <w:rsid w:val="004A30DF"/>
    <w:rsid w:val="004A592B"/>
    <w:rsid w:val="004A6C8B"/>
    <w:rsid w:val="004A7748"/>
    <w:rsid w:val="004B018F"/>
    <w:rsid w:val="004B1BB8"/>
    <w:rsid w:val="004B32F3"/>
    <w:rsid w:val="004B366E"/>
    <w:rsid w:val="004B36A1"/>
    <w:rsid w:val="004B3A43"/>
    <w:rsid w:val="004B459D"/>
    <w:rsid w:val="004B4AD6"/>
    <w:rsid w:val="004B657D"/>
    <w:rsid w:val="004B72B2"/>
    <w:rsid w:val="004B794D"/>
    <w:rsid w:val="004B7E92"/>
    <w:rsid w:val="004C09F6"/>
    <w:rsid w:val="004C2314"/>
    <w:rsid w:val="004C715F"/>
    <w:rsid w:val="004C7683"/>
    <w:rsid w:val="004C7743"/>
    <w:rsid w:val="004D03D5"/>
    <w:rsid w:val="004D188E"/>
    <w:rsid w:val="004D3F80"/>
    <w:rsid w:val="004D4E73"/>
    <w:rsid w:val="004D4EB0"/>
    <w:rsid w:val="004D50D1"/>
    <w:rsid w:val="004D5E04"/>
    <w:rsid w:val="004E091C"/>
    <w:rsid w:val="004E43DF"/>
    <w:rsid w:val="004E699D"/>
    <w:rsid w:val="004E6DA1"/>
    <w:rsid w:val="004F16C9"/>
    <w:rsid w:val="004F1A08"/>
    <w:rsid w:val="004F1A14"/>
    <w:rsid w:val="004F4A72"/>
    <w:rsid w:val="004F4B39"/>
    <w:rsid w:val="004F51B3"/>
    <w:rsid w:val="004F5A7B"/>
    <w:rsid w:val="004F5DA1"/>
    <w:rsid w:val="00500B17"/>
    <w:rsid w:val="00502D67"/>
    <w:rsid w:val="00505C82"/>
    <w:rsid w:val="00506604"/>
    <w:rsid w:val="005069F1"/>
    <w:rsid w:val="00506E8E"/>
    <w:rsid w:val="0050738A"/>
    <w:rsid w:val="0050794B"/>
    <w:rsid w:val="005111FA"/>
    <w:rsid w:val="0051165D"/>
    <w:rsid w:val="00512179"/>
    <w:rsid w:val="00513A31"/>
    <w:rsid w:val="0051441E"/>
    <w:rsid w:val="00514496"/>
    <w:rsid w:val="005146A4"/>
    <w:rsid w:val="00514B18"/>
    <w:rsid w:val="00515A33"/>
    <w:rsid w:val="00515BD7"/>
    <w:rsid w:val="00516281"/>
    <w:rsid w:val="00520DAE"/>
    <w:rsid w:val="005210C1"/>
    <w:rsid w:val="00521508"/>
    <w:rsid w:val="00523490"/>
    <w:rsid w:val="00523C10"/>
    <w:rsid w:val="00523FBE"/>
    <w:rsid w:val="005271F2"/>
    <w:rsid w:val="00527670"/>
    <w:rsid w:val="00527E34"/>
    <w:rsid w:val="00530281"/>
    <w:rsid w:val="00530E63"/>
    <w:rsid w:val="0053222A"/>
    <w:rsid w:val="00533A7B"/>
    <w:rsid w:val="00533D8A"/>
    <w:rsid w:val="005341B7"/>
    <w:rsid w:val="00534A25"/>
    <w:rsid w:val="005355F8"/>
    <w:rsid w:val="00535940"/>
    <w:rsid w:val="00535EB0"/>
    <w:rsid w:val="00535F4C"/>
    <w:rsid w:val="00536A69"/>
    <w:rsid w:val="005373B4"/>
    <w:rsid w:val="0054010A"/>
    <w:rsid w:val="0054075F"/>
    <w:rsid w:val="00540B2D"/>
    <w:rsid w:val="00542278"/>
    <w:rsid w:val="00544B92"/>
    <w:rsid w:val="00544F97"/>
    <w:rsid w:val="00545A15"/>
    <w:rsid w:val="00546BC8"/>
    <w:rsid w:val="00546BE9"/>
    <w:rsid w:val="0055035F"/>
    <w:rsid w:val="0055249B"/>
    <w:rsid w:val="0055384A"/>
    <w:rsid w:val="00554677"/>
    <w:rsid w:val="005547B7"/>
    <w:rsid w:val="00555F12"/>
    <w:rsid w:val="0055781E"/>
    <w:rsid w:val="005627D2"/>
    <w:rsid w:val="00562983"/>
    <w:rsid w:val="005636F7"/>
    <w:rsid w:val="00565F29"/>
    <w:rsid w:val="005661FB"/>
    <w:rsid w:val="00566260"/>
    <w:rsid w:val="00566B89"/>
    <w:rsid w:val="005672BA"/>
    <w:rsid w:val="005711CB"/>
    <w:rsid w:val="0057241D"/>
    <w:rsid w:val="0057244E"/>
    <w:rsid w:val="00573BE2"/>
    <w:rsid w:val="00575072"/>
    <w:rsid w:val="00575562"/>
    <w:rsid w:val="00575F57"/>
    <w:rsid w:val="00576A6F"/>
    <w:rsid w:val="00576E78"/>
    <w:rsid w:val="00577EF6"/>
    <w:rsid w:val="00580702"/>
    <w:rsid w:val="00581A69"/>
    <w:rsid w:val="00581A92"/>
    <w:rsid w:val="0058206E"/>
    <w:rsid w:val="005820BF"/>
    <w:rsid w:val="00582CAC"/>
    <w:rsid w:val="00583233"/>
    <w:rsid w:val="005852A3"/>
    <w:rsid w:val="00585C3F"/>
    <w:rsid w:val="00587080"/>
    <w:rsid w:val="00593258"/>
    <w:rsid w:val="005940B6"/>
    <w:rsid w:val="005953BE"/>
    <w:rsid w:val="00597167"/>
    <w:rsid w:val="0059798B"/>
    <w:rsid w:val="005979D3"/>
    <w:rsid w:val="005A0E3B"/>
    <w:rsid w:val="005A1495"/>
    <w:rsid w:val="005A1E17"/>
    <w:rsid w:val="005A1EE8"/>
    <w:rsid w:val="005A35F1"/>
    <w:rsid w:val="005A3E64"/>
    <w:rsid w:val="005A4908"/>
    <w:rsid w:val="005A4ED4"/>
    <w:rsid w:val="005A6A7B"/>
    <w:rsid w:val="005B0376"/>
    <w:rsid w:val="005B0531"/>
    <w:rsid w:val="005B1CD8"/>
    <w:rsid w:val="005B3756"/>
    <w:rsid w:val="005B5D22"/>
    <w:rsid w:val="005B5FC0"/>
    <w:rsid w:val="005B60C7"/>
    <w:rsid w:val="005B67CA"/>
    <w:rsid w:val="005B6A09"/>
    <w:rsid w:val="005B7FE6"/>
    <w:rsid w:val="005C4820"/>
    <w:rsid w:val="005C4948"/>
    <w:rsid w:val="005C5B08"/>
    <w:rsid w:val="005D0253"/>
    <w:rsid w:val="005D0E79"/>
    <w:rsid w:val="005D1DC9"/>
    <w:rsid w:val="005D22D7"/>
    <w:rsid w:val="005D503D"/>
    <w:rsid w:val="005D51E3"/>
    <w:rsid w:val="005D6167"/>
    <w:rsid w:val="005D6841"/>
    <w:rsid w:val="005D748A"/>
    <w:rsid w:val="005E0A87"/>
    <w:rsid w:val="005E16D9"/>
    <w:rsid w:val="005E22D6"/>
    <w:rsid w:val="005E30DD"/>
    <w:rsid w:val="005E3A50"/>
    <w:rsid w:val="005F0661"/>
    <w:rsid w:val="005F154B"/>
    <w:rsid w:val="005F300F"/>
    <w:rsid w:val="005F4AF4"/>
    <w:rsid w:val="005F5836"/>
    <w:rsid w:val="005F5ED5"/>
    <w:rsid w:val="0060040F"/>
    <w:rsid w:val="00600B34"/>
    <w:rsid w:val="00603281"/>
    <w:rsid w:val="00604D95"/>
    <w:rsid w:val="00604F46"/>
    <w:rsid w:val="00613187"/>
    <w:rsid w:val="00614323"/>
    <w:rsid w:val="00615F58"/>
    <w:rsid w:val="00616169"/>
    <w:rsid w:val="00616BB2"/>
    <w:rsid w:val="00617A29"/>
    <w:rsid w:val="00620B97"/>
    <w:rsid w:val="00621A23"/>
    <w:rsid w:val="0062735D"/>
    <w:rsid w:val="0062753F"/>
    <w:rsid w:val="00627A43"/>
    <w:rsid w:val="00627DE8"/>
    <w:rsid w:val="00630B89"/>
    <w:rsid w:val="0063193F"/>
    <w:rsid w:val="00631EEF"/>
    <w:rsid w:val="00633D34"/>
    <w:rsid w:val="006346FE"/>
    <w:rsid w:val="006355CC"/>
    <w:rsid w:val="006359B1"/>
    <w:rsid w:val="00641D1A"/>
    <w:rsid w:val="006426C0"/>
    <w:rsid w:val="00642A25"/>
    <w:rsid w:val="006431CE"/>
    <w:rsid w:val="00643F7F"/>
    <w:rsid w:val="006440F2"/>
    <w:rsid w:val="0064410D"/>
    <w:rsid w:val="00645D02"/>
    <w:rsid w:val="00645D69"/>
    <w:rsid w:val="00645EBD"/>
    <w:rsid w:val="0064772F"/>
    <w:rsid w:val="00647A08"/>
    <w:rsid w:val="00647C34"/>
    <w:rsid w:val="00647F5B"/>
    <w:rsid w:val="00650796"/>
    <w:rsid w:val="0065373E"/>
    <w:rsid w:val="0065469D"/>
    <w:rsid w:val="00654762"/>
    <w:rsid w:val="00654C28"/>
    <w:rsid w:val="00656CB5"/>
    <w:rsid w:val="00660879"/>
    <w:rsid w:val="0066203F"/>
    <w:rsid w:val="00663864"/>
    <w:rsid w:val="00665A51"/>
    <w:rsid w:val="00665A61"/>
    <w:rsid w:val="00665CAC"/>
    <w:rsid w:val="0066684F"/>
    <w:rsid w:val="00666BCE"/>
    <w:rsid w:val="00666D65"/>
    <w:rsid w:val="006703CF"/>
    <w:rsid w:val="00671241"/>
    <w:rsid w:val="006715EC"/>
    <w:rsid w:val="00671C7A"/>
    <w:rsid w:val="006737CE"/>
    <w:rsid w:val="00673B9C"/>
    <w:rsid w:val="00674F09"/>
    <w:rsid w:val="00675710"/>
    <w:rsid w:val="00680DE5"/>
    <w:rsid w:val="006819C2"/>
    <w:rsid w:val="00681F5A"/>
    <w:rsid w:val="0068317E"/>
    <w:rsid w:val="006837A3"/>
    <w:rsid w:val="00683C45"/>
    <w:rsid w:val="006848E8"/>
    <w:rsid w:val="00685269"/>
    <w:rsid w:val="00685C0D"/>
    <w:rsid w:val="00685C27"/>
    <w:rsid w:val="0068602B"/>
    <w:rsid w:val="006864BA"/>
    <w:rsid w:val="00690059"/>
    <w:rsid w:val="00690B4D"/>
    <w:rsid w:val="0069218A"/>
    <w:rsid w:val="006922E4"/>
    <w:rsid w:val="00692A6E"/>
    <w:rsid w:val="0069342A"/>
    <w:rsid w:val="00694B9B"/>
    <w:rsid w:val="00694BE7"/>
    <w:rsid w:val="00696270"/>
    <w:rsid w:val="006968A0"/>
    <w:rsid w:val="006A0AB7"/>
    <w:rsid w:val="006A1857"/>
    <w:rsid w:val="006A288D"/>
    <w:rsid w:val="006A32B1"/>
    <w:rsid w:val="006A574F"/>
    <w:rsid w:val="006A6C9A"/>
    <w:rsid w:val="006A6EDC"/>
    <w:rsid w:val="006A799C"/>
    <w:rsid w:val="006B01B3"/>
    <w:rsid w:val="006B04AE"/>
    <w:rsid w:val="006B0BF5"/>
    <w:rsid w:val="006B149C"/>
    <w:rsid w:val="006B14C6"/>
    <w:rsid w:val="006B1774"/>
    <w:rsid w:val="006B334B"/>
    <w:rsid w:val="006B3A76"/>
    <w:rsid w:val="006B3B97"/>
    <w:rsid w:val="006B411B"/>
    <w:rsid w:val="006B6B7E"/>
    <w:rsid w:val="006B7BF9"/>
    <w:rsid w:val="006C1BC2"/>
    <w:rsid w:val="006C30F7"/>
    <w:rsid w:val="006C3FFA"/>
    <w:rsid w:val="006C43FA"/>
    <w:rsid w:val="006C4666"/>
    <w:rsid w:val="006C4E42"/>
    <w:rsid w:val="006C6452"/>
    <w:rsid w:val="006C7B1E"/>
    <w:rsid w:val="006D1525"/>
    <w:rsid w:val="006D1FED"/>
    <w:rsid w:val="006D20CE"/>
    <w:rsid w:val="006D336A"/>
    <w:rsid w:val="006D346D"/>
    <w:rsid w:val="006D4002"/>
    <w:rsid w:val="006D5150"/>
    <w:rsid w:val="006D5AED"/>
    <w:rsid w:val="006E02C1"/>
    <w:rsid w:val="006E0E63"/>
    <w:rsid w:val="006E1E6E"/>
    <w:rsid w:val="006E4E9B"/>
    <w:rsid w:val="006E6710"/>
    <w:rsid w:val="006E75DE"/>
    <w:rsid w:val="006E7DFD"/>
    <w:rsid w:val="006F0A4A"/>
    <w:rsid w:val="006F0AEB"/>
    <w:rsid w:val="006F1FA5"/>
    <w:rsid w:val="006F260D"/>
    <w:rsid w:val="006F2DCE"/>
    <w:rsid w:val="006F2FB7"/>
    <w:rsid w:val="006F447B"/>
    <w:rsid w:val="006F69D3"/>
    <w:rsid w:val="007010FB"/>
    <w:rsid w:val="00702715"/>
    <w:rsid w:val="007051C9"/>
    <w:rsid w:val="0070550D"/>
    <w:rsid w:val="00705691"/>
    <w:rsid w:val="007077D2"/>
    <w:rsid w:val="00707AC9"/>
    <w:rsid w:val="00710693"/>
    <w:rsid w:val="00710EA5"/>
    <w:rsid w:val="007130F1"/>
    <w:rsid w:val="007158CF"/>
    <w:rsid w:val="007171AD"/>
    <w:rsid w:val="00717C75"/>
    <w:rsid w:val="0072082A"/>
    <w:rsid w:val="00720BEC"/>
    <w:rsid w:val="0072164D"/>
    <w:rsid w:val="0072201D"/>
    <w:rsid w:val="00722638"/>
    <w:rsid w:val="00723138"/>
    <w:rsid w:val="007237C9"/>
    <w:rsid w:val="007248C3"/>
    <w:rsid w:val="00725007"/>
    <w:rsid w:val="00726A3A"/>
    <w:rsid w:val="007274E2"/>
    <w:rsid w:val="007276D6"/>
    <w:rsid w:val="00727F6C"/>
    <w:rsid w:val="00731888"/>
    <w:rsid w:val="00731EB0"/>
    <w:rsid w:val="007332D2"/>
    <w:rsid w:val="00733421"/>
    <w:rsid w:val="00734C5F"/>
    <w:rsid w:val="00735DCC"/>
    <w:rsid w:val="00737462"/>
    <w:rsid w:val="00737705"/>
    <w:rsid w:val="00737865"/>
    <w:rsid w:val="00737E0B"/>
    <w:rsid w:val="0074083C"/>
    <w:rsid w:val="007420DC"/>
    <w:rsid w:val="007424A4"/>
    <w:rsid w:val="00742D5F"/>
    <w:rsid w:val="0074362B"/>
    <w:rsid w:val="0074497E"/>
    <w:rsid w:val="00745416"/>
    <w:rsid w:val="0074582E"/>
    <w:rsid w:val="007462D0"/>
    <w:rsid w:val="00746578"/>
    <w:rsid w:val="00751E74"/>
    <w:rsid w:val="00752220"/>
    <w:rsid w:val="00753187"/>
    <w:rsid w:val="00753208"/>
    <w:rsid w:val="00755186"/>
    <w:rsid w:val="00755E94"/>
    <w:rsid w:val="00756961"/>
    <w:rsid w:val="007604EA"/>
    <w:rsid w:val="007609D8"/>
    <w:rsid w:val="007613A2"/>
    <w:rsid w:val="007615C2"/>
    <w:rsid w:val="00761DFD"/>
    <w:rsid w:val="00762003"/>
    <w:rsid w:val="007627DC"/>
    <w:rsid w:val="007640D7"/>
    <w:rsid w:val="007646DA"/>
    <w:rsid w:val="00766457"/>
    <w:rsid w:val="00766512"/>
    <w:rsid w:val="007667D5"/>
    <w:rsid w:val="00773303"/>
    <w:rsid w:val="00776B72"/>
    <w:rsid w:val="0078482F"/>
    <w:rsid w:val="007859A8"/>
    <w:rsid w:val="0078644F"/>
    <w:rsid w:val="00787A3D"/>
    <w:rsid w:val="00787B7B"/>
    <w:rsid w:val="007904DB"/>
    <w:rsid w:val="00793FF8"/>
    <w:rsid w:val="007953CC"/>
    <w:rsid w:val="007955E7"/>
    <w:rsid w:val="00796A8E"/>
    <w:rsid w:val="007A0CC2"/>
    <w:rsid w:val="007A1C02"/>
    <w:rsid w:val="007A1E2D"/>
    <w:rsid w:val="007A26EE"/>
    <w:rsid w:val="007A41E1"/>
    <w:rsid w:val="007A6620"/>
    <w:rsid w:val="007A7847"/>
    <w:rsid w:val="007B0C85"/>
    <w:rsid w:val="007B1EB7"/>
    <w:rsid w:val="007B29A0"/>
    <w:rsid w:val="007B4CC8"/>
    <w:rsid w:val="007B711F"/>
    <w:rsid w:val="007B772E"/>
    <w:rsid w:val="007B79A6"/>
    <w:rsid w:val="007B7DEF"/>
    <w:rsid w:val="007B7EE1"/>
    <w:rsid w:val="007C1333"/>
    <w:rsid w:val="007C155E"/>
    <w:rsid w:val="007C15DF"/>
    <w:rsid w:val="007C1781"/>
    <w:rsid w:val="007C417B"/>
    <w:rsid w:val="007C5219"/>
    <w:rsid w:val="007C6A2F"/>
    <w:rsid w:val="007C788F"/>
    <w:rsid w:val="007C7D46"/>
    <w:rsid w:val="007D21F2"/>
    <w:rsid w:val="007D422D"/>
    <w:rsid w:val="007D42C3"/>
    <w:rsid w:val="007D4839"/>
    <w:rsid w:val="007D4B8A"/>
    <w:rsid w:val="007D4CEC"/>
    <w:rsid w:val="007D50BC"/>
    <w:rsid w:val="007D5B09"/>
    <w:rsid w:val="007D6059"/>
    <w:rsid w:val="007D662C"/>
    <w:rsid w:val="007D7888"/>
    <w:rsid w:val="007E1CAF"/>
    <w:rsid w:val="007E2F39"/>
    <w:rsid w:val="007E30AD"/>
    <w:rsid w:val="007E3F61"/>
    <w:rsid w:val="007E435D"/>
    <w:rsid w:val="007E6376"/>
    <w:rsid w:val="007E6989"/>
    <w:rsid w:val="007E7927"/>
    <w:rsid w:val="007E7F9F"/>
    <w:rsid w:val="007F01D0"/>
    <w:rsid w:val="007F1B41"/>
    <w:rsid w:val="007F1D84"/>
    <w:rsid w:val="007F3E07"/>
    <w:rsid w:val="007F43F8"/>
    <w:rsid w:val="007F4D00"/>
    <w:rsid w:val="007F4D80"/>
    <w:rsid w:val="007F57BF"/>
    <w:rsid w:val="007F6011"/>
    <w:rsid w:val="007F61D4"/>
    <w:rsid w:val="007F74F2"/>
    <w:rsid w:val="0080014E"/>
    <w:rsid w:val="00800262"/>
    <w:rsid w:val="0080155A"/>
    <w:rsid w:val="00802442"/>
    <w:rsid w:val="00802B79"/>
    <w:rsid w:val="00802CAD"/>
    <w:rsid w:val="00805E63"/>
    <w:rsid w:val="00807496"/>
    <w:rsid w:val="0080799D"/>
    <w:rsid w:val="00807D6E"/>
    <w:rsid w:val="00811786"/>
    <w:rsid w:val="00812CC7"/>
    <w:rsid w:val="00813484"/>
    <w:rsid w:val="0081352A"/>
    <w:rsid w:val="00814696"/>
    <w:rsid w:val="00814972"/>
    <w:rsid w:val="0081661A"/>
    <w:rsid w:val="00817236"/>
    <w:rsid w:val="00822E23"/>
    <w:rsid w:val="0082334A"/>
    <w:rsid w:val="0082581C"/>
    <w:rsid w:val="00827676"/>
    <w:rsid w:val="0083037F"/>
    <w:rsid w:val="008328C2"/>
    <w:rsid w:val="00832A20"/>
    <w:rsid w:val="0083304A"/>
    <w:rsid w:val="00834B2C"/>
    <w:rsid w:val="00834F77"/>
    <w:rsid w:val="00835558"/>
    <w:rsid w:val="008371A8"/>
    <w:rsid w:val="00837820"/>
    <w:rsid w:val="00840728"/>
    <w:rsid w:val="00842241"/>
    <w:rsid w:val="008436BC"/>
    <w:rsid w:val="00845661"/>
    <w:rsid w:val="00846826"/>
    <w:rsid w:val="00846A79"/>
    <w:rsid w:val="00850399"/>
    <w:rsid w:val="008509B1"/>
    <w:rsid w:val="00850FBE"/>
    <w:rsid w:val="00851E74"/>
    <w:rsid w:val="00852D22"/>
    <w:rsid w:val="00855350"/>
    <w:rsid w:val="008576DB"/>
    <w:rsid w:val="00857BC4"/>
    <w:rsid w:val="0086244C"/>
    <w:rsid w:val="00863990"/>
    <w:rsid w:val="00866FAD"/>
    <w:rsid w:val="00871D2C"/>
    <w:rsid w:val="008721CE"/>
    <w:rsid w:val="00873E42"/>
    <w:rsid w:val="008743A6"/>
    <w:rsid w:val="00875759"/>
    <w:rsid w:val="0088147D"/>
    <w:rsid w:val="00881DC6"/>
    <w:rsid w:val="008829DF"/>
    <w:rsid w:val="00885947"/>
    <w:rsid w:val="008877EF"/>
    <w:rsid w:val="00887E18"/>
    <w:rsid w:val="0089254F"/>
    <w:rsid w:val="00893FC2"/>
    <w:rsid w:val="0089408F"/>
    <w:rsid w:val="0089409F"/>
    <w:rsid w:val="00894553"/>
    <w:rsid w:val="0089486D"/>
    <w:rsid w:val="00896061"/>
    <w:rsid w:val="008960A4"/>
    <w:rsid w:val="008961A0"/>
    <w:rsid w:val="008A3FA0"/>
    <w:rsid w:val="008A549E"/>
    <w:rsid w:val="008A5737"/>
    <w:rsid w:val="008A5D53"/>
    <w:rsid w:val="008A7413"/>
    <w:rsid w:val="008B04BC"/>
    <w:rsid w:val="008B07E8"/>
    <w:rsid w:val="008B1372"/>
    <w:rsid w:val="008B1527"/>
    <w:rsid w:val="008B158F"/>
    <w:rsid w:val="008B1D3A"/>
    <w:rsid w:val="008B2285"/>
    <w:rsid w:val="008B3AAE"/>
    <w:rsid w:val="008B49A5"/>
    <w:rsid w:val="008B6E52"/>
    <w:rsid w:val="008B78EF"/>
    <w:rsid w:val="008B79A3"/>
    <w:rsid w:val="008C0747"/>
    <w:rsid w:val="008C5E26"/>
    <w:rsid w:val="008C6361"/>
    <w:rsid w:val="008D1A72"/>
    <w:rsid w:val="008D1AFF"/>
    <w:rsid w:val="008D2A00"/>
    <w:rsid w:val="008D2A4D"/>
    <w:rsid w:val="008D3EB7"/>
    <w:rsid w:val="008D42D8"/>
    <w:rsid w:val="008D5871"/>
    <w:rsid w:val="008D6ADE"/>
    <w:rsid w:val="008E06C3"/>
    <w:rsid w:val="008E1897"/>
    <w:rsid w:val="008E1A30"/>
    <w:rsid w:val="008E1FA7"/>
    <w:rsid w:val="008E2C16"/>
    <w:rsid w:val="008E487A"/>
    <w:rsid w:val="008E4F80"/>
    <w:rsid w:val="008E5148"/>
    <w:rsid w:val="008E54F9"/>
    <w:rsid w:val="008E5C75"/>
    <w:rsid w:val="008E70E6"/>
    <w:rsid w:val="008E78C9"/>
    <w:rsid w:val="008F0987"/>
    <w:rsid w:val="008F1842"/>
    <w:rsid w:val="008F195C"/>
    <w:rsid w:val="008F1F2E"/>
    <w:rsid w:val="008F3912"/>
    <w:rsid w:val="0090128C"/>
    <w:rsid w:val="009022A9"/>
    <w:rsid w:val="00903335"/>
    <w:rsid w:val="00903D94"/>
    <w:rsid w:val="00905C0C"/>
    <w:rsid w:val="009067D1"/>
    <w:rsid w:val="00906A60"/>
    <w:rsid w:val="00907B6F"/>
    <w:rsid w:val="00907D72"/>
    <w:rsid w:val="00910078"/>
    <w:rsid w:val="009103A7"/>
    <w:rsid w:val="00910BFE"/>
    <w:rsid w:val="00912929"/>
    <w:rsid w:val="009132E5"/>
    <w:rsid w:val="009152B5"/>
    <w:rsid w:val="00917890"/>
    <w:rsid w:val="009221DA"/>
    <w:rsid w:val="0092381A"/>
    <w:rsid w:val="00924D3C"/>
    <w:rsid w:val="0092750F"/>
    <w:rsid w:val="00931985"/>
    <w:rsid w:val="009329B4"/>
    <w:rsid w:val="00934610"/>
    <w:rsid w:val="00934826"/>
    <w:rsid w:val="00934DF2"/>
    <w:rsid w:val="00934E2E"/>
    <w:rsid w:val="00941A41"/>
    <w:rsid w:val="0094249E"/>
    <w:rsid w:val="00942D72"/>
    <w:rsid w:val="0094300A"/>
    <w:rsid w:val="00944B5C"/>
    <w:rsid w:val="00945870"/>
    <w:rsid w:val="00946C10"/>
    <w:rsid w:val="00950812"/>
    <w:rsid w:val="00951BD6"/>
    <w:rsid w:val="00952119"/>
    <w:rsid w:val="009521F3"/>
    <w:rsid w:val="009523D2"/>
    <w:rsid w:val="00952668"/>
    <w:rsid w:val="009543BF"/>
    <w:rsid w:val="00954625"/>
    <w:rsid w:val="009573CB"/>
    <w:rsid w:val="00960C78"/>
    <w:rsid w:val="00961D98"/>
    <w:rsid w:val="009625DB"/>
    <w:rsid w:val="009640D2"/>
    <w:rsid w:val="00964575"/>
    <w:rsid w:val="009646EF"/>
    <w:rsid w:val="00966A45"/>
    <w:rsid w:val="009674FB"/>
    <w:rsid w:val="00967FBB"/>
    <w:rsid w:val="00970CA1"/>
    <w:rsid w:val="00970D82"/>
    <w:rsid w:val="0097202B"/>
    <w:rsid w:val="009728DA"/>
    <w:rsid w:val="00973411"/>
    <w:rsid w:val="00973824"/>
    <w:rsid w:val="00973BFE"/>
    <w:rsid w:val="00974FC4"/>
    <w:rsid w:val="00977477"/>
    <w:rsid w:val="00980F16"/>
    <w:rsid w:val="009819CF"/>
    <w:rsid w:val="00981F5D"/>
    <w:rsid w:val="00981FAB"/>
    <w:rsid w:val="0098231A"/>
    <w:rsid w:val="009824AC"/>
    <w:rsid w:val="009824B6"/>
    <w:rsid w:val="00984735"/>
    <w:rsid w:val="00984FC7"/>
    <w:rsid w:val="00986385"/>
    <w:rsid w:val="00986514"/>
    <w:rsid w:val="00986F73"/>
    <w:rsid w:val="00987B23"/>
    <w:rsid w:val="00987F2C"/>
    <w:rsid w:val="009907E8"/>
    <w:rsid w:val="00991007"/>
    <w:rsid w:val="00991E77"/>
    <w:rsid w:val="0099696F"/>
    <w:rsid w:val="00996F50"/>
    <w:rsid w:val="009A0B50"/>
    <w:rsid w:val="009A1B3C"/>
    <w:rsid w:val="009A313E"/>
    <w:rsid w:val="009A36A4"/>
    <w:rsid w:val="009A3A2B"/>
    <w:rsid w:val="009A47D6"/>
    <w:rsid w:val="009A49E6"/>
    <w:rsid w:val="009A5656"/>
    <w:rsid w:val="009A7A0F"/>
    <w:rsid w:val="009B04A9"/>
    <w:rsid w:val="009B20E0"/>
    <w:rsid w:val="009B3438"/>
    <w:rsid w:val="009B396D"/>
    <w:rsid w:val="009B7230"/>
    <w:rsid w:val="009B756C"/>
    <w:rsid w:val="009C4B88"/>
    <w:rsid w:val="009C4E3E"/>
    <w:rsid w:val="009C6703"/>
    <w:rsid w:val="009C6C90"/>
    <w:rsid w:val="009C6D12"/>
    <w:rsid w:val="009C7556"/>
    <w:rsid w:val="009C7563"/>
    <w:rsid w:val="009D062D"/>
    <w:rsid w:val="009D180D"/>
    <w:rsid w:val="009D312C"/>
    <w:rsid w:val="009D3736"/>
    <w:rsid w:val="009D510B"/>
    <w:rsid w:val="009D64D5"/>
    <w:rsid w:val="009D6FBB"/>
    <w:rsid w:val="009E270F"/>
    <w:rsid w:val="009E3AE7"/>
    <w:rsid w:val="009E3F17"/>
    <w:rsid w:val="009E69FB"/>
    <w:rsid w:val="009F25B2"/>
    <w:rsid w:val="009F4AF4"/>
    <w:rsid w:val="009F5239"/>
    <w:rsid w:val="009F5DCE"/>
    <w:rsid w:val="009F77FF"/>
    <w:rsid w:val="00A00675"/>
    <w:rsid w:val="00A01FFD"/>
    <w:rsid w:val="00A062AF"/>
    <w:rsid w:val="00A06D28"/>
    <w:rsid w:val="00A0722C"/>
    <w:rsid w:val="00A10424"/>
    <w:rsid w:val="00A106A4"/>
    <w:rsid w:val="00A10F1E"/>
    <w:rsid w:val="00A139B6"/>
    <w:rsid w:val="00A2221F"/>
    <w:rsid w:val="00A2375D"/>
    <w:rsid w:val="00A23B55"/>
    <w:rsid w:val="00A24443"/>
    <w:rsid w:val="00A27568"/>
    <w:rsid w:val="00A27C00"/>
    <w:rsid w:val="00A33096"/>
    <w:rsid w:val="00A3401E"/>
    <w:rsid w:val="00A353EB"/>
    <w:rsid w:val="00A3552A"/>
    <w:rsid w:val="00A35778"/>
    <w:rsid w:val="00A3753D"/>
    <w:rsid w:val="00A400D7"/>
    <w:rsid w:val="00A40A6F"/>
    <w:rsid w:val="00A42B9E"/>
    <w:rsid w:val="00A430C0"/>
    <w:rsid w:val="00A433FD"/>
    <w:rsid w:val="00A43CDE"/>
    <w:rsid w:val="00A445BF"/>
    <w:rsid w:val="00A449F7"/>
    <w:rsid w:val="00A44F3D"/>
    <w:rsid w:val="00A46865"/>
    <w:rsid w:val="00A46B99"/>
    <w:rsid w:val="00A46CB0"/>
    <w:rsid w:val="00A46EDF"/>
    <w:rsid w:val="00A47242"/>
    <w:rsid w:val="00A50490"/>
    <w:rsid w:val="00A51BF3"/>
    <w:rsid w:val="00A51CE1"/>
    <w:rsid w:val="00A536B4"/>
    <w:rsid w:val="00A5383D"/>
    <w:rsid w:val="00A564F6"/>
    <w:rsid w:val="00A56575"/>
    <w:rsid w:val="00A609A6"/>
    <w:rsid w:val="00A612D3"/>
    <w:rsid w:val="00A61480"/>
    <w:rsid w:val="00A618C4"/>
    <w:rsid w:val="00A63A76"/>
    <w:rsid w:val="00A6525A"/>
    <w:rsid w:val="00A70246"/>
    <w:rsid w:val="00A72185"/>
    <w:rsid w:val="00A75257"/>
    <w:rsid w:val="00A77CF4"/>
    <w:rsid w:val="00A80135"/>
    <w:rsid w:val="00A80538"/>
    <w:rsid w:val="00A80A54"/>
    <w:rsid w:val="00A8100F"/>
    <w:rsid w:val="00A8260B"/>
    <w:rsid w:val="00A84496"/>
    <w:rsid w:val="00A85A2A"/>
    <w:rsid w:val="00A86433"/>
    <w:rsid w:val="00A87E4E"/>
    <w:rsid w:val="00A90150"/>
    <w:rsid w:val="00A9058F"/>
    <w:rsid w:val="00A90C54"/>
    <w:rsid w:val="00A918B1"/>
    <w:rsid w:val="00A92B9B"/>
    <w:rsid w:val="00A94915"/>
    <w:rsid w:val="00A96539"/>
    <w:rsid w:val="00A96DDE"/>
    <w:rsid w:val="00A9706A"/>
    <w:rsid w:val="00AA0E80"/>
    <w:rsid w:val="00AA10D7"/>
    <w:rsid w:val="00AA20AD"/>
    <w:rsid w:val="00AA2806"/>
    <w:rsid w:val="00AA46FB"/>
    <w:rsid w:val="00AA5934"/>
    <w:rsid w:val="00AA7003"/>
    <w:rsid w:val="00AA7156"/>
    <w:rsid w:val="00AB0B01"/>
    <w:rsid w:val="00AB126C"/>
    <w:rsid w:val="00AB1A67"/>
    <w:rsid w:val="00AB1AD5"/>
    <w:rsid w:val="00AB5FDF"/>
    <w:rsid w:val="00AB6FA6"/>
    <w:rsid w:val="00AC1962"/>
    <w:rsid w:val="00AC1EFB"/>
    <w:rsid w:val="00AC4053"/>
    <w:rsid w:val="00AC405C"/>
    <w:rsid w:val="00AC4747"/>
    <w:rsid w:val="00AC5ED6"/>
    <w:rsid w:val="00AC763A"/>
    <w:rsid w:val="00AC7FC8"/>
    <w:rsid w:val="00AD1877"/>
    <w:rsid w:val="00AD2F50"/>
    <w:rsid w:val="00AD424D"/>
    <w:rsid w:val="00AD5E0B"/>
    <w:rsid w:val="00AE1273"/>
    <w:rsid w:val="00AE141E"/>
    <w:rsid w:val="00AE1768"/>
    <w:rsid w:val="00AE1D3D"/>
    <w:rsid w:val="00AE21BB"/>
    <w:rsid w:val="00AE659D"/>
    <w:rsid w:val="00AE6B26"/>
    <w:rsid w:val="00AE74CE"/>
    <w:rsid w:val="00AE7BDE"/>
    <w:rsid w:val="00AF07A8"/>
    <w:rsid w:val="00AF1C22"/>
    <w:rsid w:val="00AF4121"/>
    <w:rsid w:val="00AF578B"/>
    <w:rsid w:val="00AF57F2"/>
    <w:rsid w:val="00B01194"/>
    <w:rsid w:val="00B01997"/>
    <w:rsid w:val="00B03ECE"/>
    <w:rsid w:val="00B052A1"/>
    <w:rsid w:val="00B055A0"/>
    <w:rsid w:val="00B05D34"/>
    <w:rsid w:val="00B069AE"/>
    <w:rsid w:val="00B121F4"/>
    <w:rsid w:val="00B12277"/>
    <w:rsid w:val="00B126C9"/>
    <w:rsid w:val="00B1287E"/>
    <w:rsid w:val="00B13E87"/>
    <w:rsid w:val="00B17CF8"/>
    <w:rsid w:val="00B201F7"/>
    <w:rsid w:val="00B23701"/>
    <w:rsid w:val="00B24F13"/>
    <w:rsid w:val="00B257CF"/>
    <w:rsid w:val="00B27977"/>
    <w:rsid w:val="00B304B7"/>
    <w:rsid w:val="00B30EB4"/>
    <w:rsid w:val="00B3115D"/>
    <w:rsid w:val="00B31647"/>
    <w:rsid w:val="00B32253"/>
    <w:rsid w:val="00B32A23"/>
    <w:rsid w:val="00B3689E"/>
    <w:rsid w:val="00B37516"/>
    <w:rsid w:val="00B37921"/>
    <w:rsid w:val="00B40B36"/>
    <w:rsid w:val="00B41970"/>
    <w:rsid w:val="00B4208F"/>
    <w:rsid w:val="00B42641"/>
    <w:rsid w:val="00B42EB3"/>
    <w:rsid w:val="00B43800"/>
    <w:rsid w:val="00B44FE5"/>
    <w:rsid w:val="00B45E6C"/>
    <w:rsid w:val="00B4636E"/>
    <w:rsid w:val="00B53B6A"/>
    <w:rsid w:val="00B54046"/>
    <w:rsid w:val="00B54152"/>
    <w:rsid w:val="00B5555C"/>
    <w:rsid w:val="00B56E65"/>
    <w:rsid w:val="00B57255"/>
    <w:rsid w:val="00B57626"/>
    <w:rsid w:val="00B57FE7"/>
    <w:rsid w:val="00B60A91"/>
    <w:rsid w:val="00B611D5"/>
    <w:rsid w:val="00B62CBB"/>
    <w:rsid w:val="00B62E4F"/>
    <w:rsid w:val="00B6329F"/>
    <w:rsid w:val="00B63B9E"/>
    <w:rsid w:val="00B66D2F"/>
    <w:rsid w:val="00B717B7"/>
    <w:rsid w:val="00B719C0"/>
    <w:rsid w:val="00B71A80"/>
    <w:rsid w:val="00B73E59"/>
    <w:rsid w:val="00B743DE"/>
    <w:rsid w:val="00B82BAC"/>
    <w:rsid w:val="00B83ECC"/>
    <w:rsid w:val="00B840EB"/>
    <w:rsid w:val="00B8446D"/>
    <w:rsid w:val="00B85878"/>
    <w:rsid w:val="00B85AB9"/>
    <w:rsid w:val="00B87FB5"/>
    <w:rsid w:val="00B90528"/>
    <w:rsid w:val="00B90FB8"/>
    <w:rsid w:val="00B9183A"/>
    <w:rsid w:val="00B94406"/>
    <w:rsid w:val="00B96B13"/>
    <w:rsid w:val="00B97026"/>
    <w:rsid w:val="00B9786B"/>
    <w:rsid w:val="00B97A99"/>
    <w:rsid w:val="00BA03A8"/>
    <w:rsid w:val="00BA1108"/>
    <w:rsid w:val="00BA5DA4"/>
    <w:rsid w:val="00BA6F13"/>
    <w:rsid w:val="00BA730A"/>
    <w:rsid w:val="00BA7EEA"/>
    <w:rsid w:val="00BB31A7"/>
    <w:rsid w:val="00BB394B"/>
    <w:rsid w:val="00BB4566"/>
    <w:rsid w:val="00BB46E2"/>
    <w:rsid w:val="00BB4843"/>
    <w:rsid w:val="00BB49C3"/>
    <w:rsid w:val="00BB7508"/>
    <w:rsid w:val="00BB75B1"/>
    <w:rsid w:val="00BC3D64"/>
    <w:rsid w:val="00BC54FA"/>
    <w:rsid w:val="00BC5B08"/>
    <w:rsid w:val="00BC5D96"/>
    <w:rsid w:val="00BC6B82"/>
    <w:rsid w:val="00BC7C53"/>
    <w:rsid w:val="00BC7CF4"/>
    <w:rsid w:val="00BD1078"/>
    <w:rsid w:val="00BD2FCD"/>
    <w:rsid w:val="00BD323D"/>
    <w:rsid w:val="00BD5550"/>
    <w:rsid w:val="00BE2067"/>
    <w:rsid w:val="00BE24A8"/>
    <w:rsid w:val="00BE379E"/>
    <w:rsid w:val="00BE5FD4"/>
    <w:rsid w:val="00BE6358"/>
    <w:rsid w:val="00BE6476"/>
    <w:rsid w:val="00BF000D"/>
    <w:rsid w:val="00BF0385"/>
    <w:rsid w:val="00BF0D3A"/>
    <w:rsid w:val="00BF1B21"/>
    <w:rsid w:val="00BF1F97"/>
    <w:rsid w:val="00BF2EDD"/>
    <w:rsid w:val="00BF38CC"/>
    <w:rsid w:val="00BF3C38"/>
    <w:rsid w:val="00BF4FAE"/>
    <w:rsid w:val="00BF53CE"/>
    <w:rsid w:val="00BF5575"/>
    <w:rsid w:val="00BF5952"/>
    <w:rsid w:val="00BF60DA"/>
    <w:rsid w:val="00C025BB"/>
    <w:rsid w:val="00C02C91"/>
    <w:rsid w:val="00C02D7D"/>
    <w:rsid w:val="00C031D7"/>
    <w:rsid w:val="00C03E82"/>
    <w:rsid w:val="00C0405F"/>
    <w:rsid w:val="00C04107"/>
    <w:rsid w:val="00C04890"/>
    <w:rsid w:val="00C0596D"/>
    <w:rsid w:val="00C06FDD"/>
    <w:rsid w:val="00C1073D"/>
    <w:rsid w:val="00C110D2"/>
    <w:rsid w:val="00C1157B"/>
    <w:rsid w:val="00C12BDC"/>
    <w:rsid w:val="00C13E15"/>
    <w:rsid w:val="00C15546"/>
    <w:rsid w:val="00C161A4"/>
    <w:rsid w:val="00C171C5"/>
    <w:rsid w:val="00C175AA"/>
    <w:rsid w:val="00C23015"/>
    <w:rsid w:val="00C23B5C"/>
    <w:rsid w:val="00C26139"/>
    <w:rsid w:val="00C30CBD"/>
    <w:rsid w:val="00C31574"/>
    <w:rsid w:val="00C31610"/>
    <w:rsid w:val="00C32012"/>
    <w:rsid w:val="00C32F26"/>
    <w:rsid w:val="00C3387E"/>
    <w:rsid w:val="00C340C0"/>
    <w:rsid w:val="00C35757"/>
    <w:rsid w:val="00C4143F"/>
    <w:rsid w:val="00C43099"/>
    <w:rsid w:val="00C44B72"/>
    <w:rsid w:val="00C5065D"/>
    <w:rsid w:val="00C52FD0"/>
    <w:rsid w:val="00C61DF4"/>
    <w:rsid w:val="00C63EC0"/>
    <w:rsid w:val="00C65354"/>
    <w:rsid w:val="00C6571B"/>
    <w:rsid w:val="00C659F0"/>
    <w:rsid w:val="00C711CB"/>
    <w:rsid w:val="00C719E7"/>
    <w:rsid w:val="00C71DBD"/>
    <w:rsid w:val="00C71E6B"/>
    <w:rsid w:val="00C744AC"/>
    <w:rsid w:val="00C74859"/>
    <w:rsid w:val="00C76A91"/>
    <w:rsid w:val="00C76BFB"/>
    <w:rsid w:val="00C774A7"/>
    <w:rsid w:val="00C774CB"/>
    <w:rsid w:val="00C77EF8"/>
    <w:rsid w:val="00C80483"/>
    <w:rsid w:val="00C827E1"/>
    <w:rsid w:val="00C83C17"/>
    <w:rsid w:val="00C84089"/>
    <w:rsid w:val="00C844FD"/>
    <w:rsid w:val="00C87B71"/>
    <w:rsid w:val="00C925A9"/>
    <w:rsid w:val="00C92A9B"/>
    <w:rsid w:val="00C9318E"/>
    <w:rsid w:val="00C940FB"/>
    <w:rsid w:val="00C95E06"/>
    <w:rsid w:val="00C96150"/>
    <w:rsid w:val="00C96634"/>
    <w:rsid w:val="00C968B9"/>
    <w:rsid w:val="00CA02D3"/>
    <w:rsid w:val="00CA136B"/>
    <w:rsid w:val="00CA1AA1"/>
    <w:rsid w:val="00CA40C9"/>
    <w:rsid w:val="00CA4F61"/>
    <w:rsid w:val="00CB760D"/>
    <w:rsid w:val="00CC26AF"/>
    <w:rsid w:val="00CC31F8"/>
    <w:rsid w:val="00CC5651"/>
    <w:rsid w:val="00CC7540"/>
    <w:rsid w:val="00CC7E5D"/>
    <w:rsid w:val="00CD08FA"/>
    <w:rsid w:val="00CD3AE7"/>
    <w:rsid w:val="00CD4A21"/>
    <w:rsid w:val="00CD512B"/>
    <w:rsid w:val="00CD5702"/>
    <w:rsid w:val="00CD7898"/>
    <w:rsid w:val="00CD7C9B"/>
    <w:rsid w:val="00CE0AFD"/>
    <w:rsid w:val="00CE101F"/>
    <w:rsid w:val="00CE1839"/>
    <w:rsid w:val="00CE2D68"/>
    <w:rsid w:val="00CE5193"/>
    <w:rsid w:val="00CE616E"/>
    <w:rsid w:val="00CE661F"/>
    <w:rsid w:val="00CE7C5B"/>
    <w:rsid w:val="00CF2F16"/>
    <w:rsid w:val="00CF48E6"/>
    <w:rsid w:val="00CF529C"/>
    <w:rsid w:val="00CF6751"/>
    <w:rsid w:val="00CF7189"/>
    <w:rsid w:val="00CF79A9"/>
    <w:rsid w:val="00D01A10"/>
    <w:rsid w:val="00D02AC4"/>
    <w:rsid w:val="00D03D4B"/>
    <w:rsid w:val="00D03E2A"/>
    <w:rsid w:val="00D04162"/>
    <w:rsid w:val="00D054C5"/>
    <w:rsid w:val="00D05700"/>
    <w:rsid w:val="00D05A82"/>
    <w:rsid w:val="00D069A9"/>
    <w:rsid w:val="00D07156"/>
    <w:rsid w:val="00D07C82"/>
    <w:rsid w:val="00D121AF"/>
    <w:rsid w:val="00D129AF"/>
    <w:rsid w:val="00D13F22"/>
    <w:rsid w:val="00D15A97"/>
    <w:rsid w:val="00D166CA"/>
    <w:rsid w:val="00D20BB9"/>
    <w:rsid w:val="00D21434"/>
    <w:rsid w:val="00D2182F"/>
    <w:rsid w:val="00D21C11"/>
    <w:rsid w:val="00D21CD0"/>
    <w:rsid w:val="00D225ED"/>
    <w:rsid w:val="00D22E3F"/>
    <w:rsid w:val="00D2407F"/>
    <w:rsid w:val="00D24388"/>
    <w:rsid w:val="00D25BD2"/>
    <w:rsid w:val="00D27C02"/>
    <w:rsid w:val="00D30780"/>
    <w:rsid w:val="00D318F2"/>
    <w:rsid w:val="00D329D5"/>
    <w:rsid w:val="00D32EAA"/>
    <w:rsid w:val="00D337D4"/>
    <w:rsid w:val="00D33C66"/>
    <w:rsid w:val="00D35A81"/>
    <w:rsid w:val="00D406E1"/>
    <w:rsid w:val="00D41BD9"/>
    <w:rsid w:val="00D41FB5"/>
    <w:rsid w:val="00D4663B"/>
    <w:rsid w:val="00D46AEE"/>
    <w:rsid w:val="00D46E29"/>
    <w:rsid w:val="00D479DC"/>
    <w:rsid w:val="00D47D5B"/>
    <w:rsid w:val="00D517E0"/>
    <w:rsid w:val="00D51AD1"/>
    <w:rsid w:val="00D51ECC"/>
    <w:rsid w:val="00D52F6C"/>
    <w:rsid w:val="00D53B3C"/>
    <w:rsid w:val="00D54C54"/>
    <w:rsid w:val="00D55BB0"/>
    <w:rsid w:val="00D56C39"/>
    <w:rsid w:val="00D5700F"/>
    <w:rsid w:val="00D61AC7"/>
    <w:rsid w:val="00D63572"/>
    <w:rsid w:val="00D659FD"/>
    <w:rsid w:val="00D65D2A"/>
    <w:rsid w:val="00D66120"/>
    <w:rsid w:val="00D66891"/>
    <w:rsid w:val="00D66F3C"/>
    <w:rsid w:val="00D676AC"/>
    <w:rsid w:val="00D70C8D"/>
    <w:rsid w:val="00D715A5"/>
    <w:rsid w:val="00D71761"/>
    <w:rsid w:val="00D748FD"/>
    <w:rsid w:val="00D75992"/>
    <w:rsid w:val="00D761C9"/>
    <w:rsid w:val="00D76C80"/>
    <w:rsid w:val="00D76F15"/>
    <w:rsid w:val="00D7707E"/>
    <w:rsid w:val="00D7717F"/>
    <w:rsid w:val="00D81F7D"/>
    <w:rsid w:val="00D8292A"/>
    <w:rsid w:val="00D8316B"/>
    <w:rsid w:val="00D834A5"/>
    <w:rsid w:val="00D83765"/>
    <w:rsid w:val="00D83AE2"/>
    <w:rsid w:val="00D83D47"/>
    <w:rsid w:val="00D848B7"/>
    <w:rsid w:val="00D85D1B"/>
    <w:rsid w:val="00D87F25"/>
    <w:rsid w:val="00D9322B"/>
    <w:rsid w:val="00D96447"/>
    <w:rsid w:val="00D96D61"/>
    <w:rsid w:val="00DA1BD6"/>
    <w:rsid w:val="00DA24BD"/>
    <w:rsid w:val="00DA3925"/>
    <w:rsid w:val="00DA3B01"/>
    <w:rsid w:val="00DA49A7"/>
    <w:rsid w:val="00DA57CC"/>
    <w:rsid w:val="00DA6201"/>
    <w:rsid w:val="00DA64C9"/>
    <w:rsid w:val="00DA736D"/>
    <w:rsid w:val="00DA7857"/>
    <w:rsid w:val="00DB1776"/>
    <w:rsid w:val="00DB2CC3"/>
    <w:rsid w:val="00DB4D30"/>
    <w:rsid w:val="00DB6CB3"/>
    <w:rsid w:val="00DB7D8D"/>
    <w:rsid w:val="00DC63E9"/>
    <w:rsid w:val="00DC6778"/>
    <w:rsid w:val="00DC6D2A"/>
    <w:rsid w:val="00DC7FA1"/>
    <w:rsid w:val="00DD0AC8"/>
    <w:rsid w:val="00DD0E0E"/>
    <w:rsid w:val="00DD0E93"/>
    <w:rsid w:val="00DD218B"/>
    <w:rsid w:val="00DD2593"/>
    <w:rsid w:val="00DD674D"/>
    <w:rsid w:val="00DE2ADE"/>
    <w:rsid w:val="00DE341A"/>
    <w:rsid w:val="00DE4436"/>
    <w:rsid w:val="00DE5F14"/>
    <w:rsid w:val="00DE6407"/>
    <w:rsid w:val="00DE66EF"/>
    <w:rsid w:val="00DE685F"/>
    <w:rsid w:val="00DF07BE"/>
    <w:rsid w:val="00DF0CD7"/>
    <w:rsid w:val="00DF1801"/>
    <w:rsid w:val="00DF410C"/>
    <w:rsid w:val="00DF691F"/>
    <w:rsid w:val="00DF7614"/>
    <w:rsid w:val="00E0051F"/>
    <w:rsid w:val="00E00CE8"/>
    <w:rsid w:val="00E00E64"/>
    <w:rsid w:val="00E02BA2"/>
    <w:rsid w:val="00E03D70"/>
    <w:rsid w:val="00E040E9"/>
    <w:rsid w:val="00E044A4"/>
    <w:rsid w:val="00E05D4A"/>
    <w:rsid w:val="00E079F0"/>
    <w:rsid w:val="00E101AF"/>
    <w:rsid w:val="00E10ABD"/>
    <w:rsid w:val="00E10BB8"/>
    <w:rsid w:val="00E11010"/>
    <w:rsid w:val="00E12442"/>
    <w:rsid w:val="00E126F9"/>
    <w:rsid w:val="00E13805"/>
    <w:rsid w:val="00E142D4"/>
    <w:rsid w:val="00E15963"/>
    <w:rsid w:val="00E159B4"/>
    <w:rsid w:val="00E17E56"/>
    <w:rsid w:val="00E21854"/>
    <w:rsid w:val="00E254ED"/>
    <w:rsid w:val="00E30587"/>
    <w:rsid w:val="00E31353"/>
    <w:rsid w:val="00E32401"/>
    <w:rsid w:val="00E32AFB"/>
    <w:rsid w:val="00E33CF5"/>
    <w:rsid w:val="00E34717"/>
    <w:rsid w:val="00E34B19"/>
    <w:rsid w:val="00E36719"/>
    <w:rsid w:val="00E36EF7"/>
    <w:rsid w:val="00E40010"/>
    <w:rsid w:val="00E40B2C"/>
    <w:rsid w:val="00E40C3F"/>
    <w:rsid w:val="00E421C4"/>
    <w:rsid w:val="00E43257"/>
    <w:rsid w:val="00E436F7"/>
    <w:rsid w:val="00E44C7F"/>
    <w:rsid w:val="00E45CBF"/>
    <w:rsid w:val="00E4651F"/>
    <w:rsid w:val="00E46A96"/>
    <w:rsid w:val="00E500D8"/>
    <w:rsid w:val="00E524FB"/>
    <w:rsid w:val="00E53315"/>
    <w:rsid w:val="00E53A59"/>
    <w:rsid w:val="00E53DCE"/>
    <w:rsid w:val="00E542C0"/>
    <w:rsid w:val="00E55640"/>
    <w:rsid w:val="00E558EC"/>
    <w:rsid w:val="00E55925"/>
    <w:rsid w:val="00E56049"/>
    <w:rsid w:val="00E57FA6"/>
    <w:rsid w:val="00E601F0"/>
    <w:rsid w:val="00E627F7"/>
    <w:rsid w:val="00E6297A"/>
    <w:rsid w:val="00E62BAC"/>
    <w:rsid w:val="00E63728"/>
    <w:rsid w:val="00E63BBF"/>
    <w:rsid w:val="00E63C15"/>
    <w:rsid w:val="00E64A61"/>
    <w:rsid w:val="00E650B1"/>
    <w:rsid w:val="00E6582B"/>
    <w:rsid w:val="00E66FCE"/>
    <w:rsid w:val="00E67077"/>
    <w:rsid w:val="00E67149"/>
    <w:rsid w:val="00E7034E"/>
    <w:rsid w:val="00E72351"/>
    <w:rsid w:val="00E72A55"/>
    <w:rsid w:val="00E74F18"/>
    <w:rsid w:val="00E7571D"/>
    <w:rsid w:val="00E76C9B"/>
    <w:rsid w:val="00E77591"/>
    <w:rsid w:val="00E77E55"/>
    <w:rsid w:val="00E84932"/>
    <w:rsid w:val="00E84A05"/>
    <w:rsid w:val="00E86650"/>
    <w:rsid w:val="00E87223"/>
    <w:rsid w:val="00E90A16"/>
    <w:rsid w:val="00E914F8"/>
    <w:rsid w:val="00E92890"/>
    <w:rsid w:val="00E92EF8"/>
    <w:rsid w:val="00E948CC"/>
    <w:rsid w:val="00E95751"/>
    <w:rsid w:val="00E95BE2"/>
    <w:rsid w:val="00E95D07"/>
    <w:rsid w:val="00E978C0"/>
    <w:rsid w:val="00E97F58"/>
    <w:rsid w:val="00EA2DB2"/>
    <w:rsid w:val="00EA46D2"/>
    <w:rsid w:val="00EA5A13"/>
    <w:rsid w:val="00EA5CA8"/>
    <w:rsid w:val="00EA6A95"/>
    <w:rsid w:val="00EA7E15"/>
    <w:rsid w:val="00EB01FA"/>
    <w:rsid w:val="00EB0434"/>
    <w:rsid w:val="00EB1086"/>
    <w:rsid w:val="00EB3D34"/>
    <w:rsid w:val="00EB4F1D"/>
    <w:rsid w:val="00EB5B52"/>
    <w:rsid w:val="00EB66EE"/>
    <w:rsid w:val="00EB6D20"/>
    <w:rsid w:val="00EC0527"/>
    <w:rsid w:val="00EC320C"/>
    <w:rsid w:val="00EC4420"/>
    <w:rsid w:val="00EC60F9"/>
    <w:rsid w:val="00ED1AA2"/>
    <w:rsid w:val="00ED206E"/>
    <w:rsid w:val="00ED23CE"/>
    <w:rsid w:val="00ED28F9"/>
    <w:rsid w:val="00ED30D1"/>
    <w:rsid w:val="00ED48A7"/>
    <w:rsid w:val="00ED52F8"/>
    <w:rsid w:val="00ED6234"/>
    <w:rsid w:val="00EE1474"/>
    <w:rsid w:val="00EE2C37"/>
    <w:rsid w:val="00EE59B3"/>
    <w:rsid w:val="00EE6329"/>
    <w:rsid w:val="00EE703B"/>
    <w:rsid w:val="00EF4690"/>
    <w:rsid w:val="00EF4FA1"/>
    <w:rsid w:val="00EF60DD"/>
    <w:rsid w:val="00EF64F4"/>
    <w:rsid w:val="00F00515"/>
    <w:rsid w:val="00F022D3"/>
    <w:rsid w:val="00F032B4"/>
    <w:rsid w:val="00F036D4"/>
    <w:rsid w:val="00F04799"/>
    <w:rsid w:val="00F06380"/>
    <w:rsid w:val="00F072AE"/>
    <w:rsid w:val="00F1025D"/>
    <w:rsid w:val="00F110E4"/>
    <w:rsid w:val="00F11FC1"/>
    <w:rsid w:val="00F13642"/>
    <w:rsid w:val="00F14AFC"/>
    <w:rsid w:val="00F14D5A"/>
    <w:rsid w:val="00F14D67"/>
    <w:rsid w:val="00F158D6"/>
    <w:rsid w:val="00F16CD2"/>
    <w:rsid w:val="00F17EA5"/>
    <w:rsid w:val="00F202D9"/>
    <w:rsid w:val="00F21B1D"/>
    <w:rsid w:val="00F22E89"/>
    <w:rsid w:val="00F2324F"/>
    <w:rsid w:val="00F243E2"/>
    <w:rsid w:val="00F3049A"/>
    <w:rsid w:val="00F30567"/>
    <w:rsid w:val="00F31162"/>
    <w:rsid w:val="00F313D3"/>
    <w:rsid w:val="00F35A1D"/>
    <w:rsid w:val="00F35BA6"/>
    <w:rsid w:val="00F35D5C"/>
    <w:rsid w:val="00F36D1C"/>
    <w:rsid w:val="00F36DB3"/>
    <w:rsid w:val="00F3702C"/>
    <w:rsid w:val="00F3762A"/>
    <w:rsid w:val="00F37C9A"/>
    <w:rsid w:val="00F4011A"/>
    <w:rsid w:val="00F417FD"/>
    <w:rsid w:val="00F41B1B"/>
    <w:rsid w:val="00F42218"/>
    <w:rsid w:val="00F42C82"/>
    <w:rsid w:val="00F4354D"/>
    <w:rsid w:val="00F43826"/>
    <w:rsid w:val="00F43EAA"/>
    <w:rsid w:val="00F43F13"/>
    <w:rsid w:val="00F4435A"/>
    <w:rsid w:val="00F450B6"/>
    <w:rsid w:val="00F454FC"/>
    <w:rsid w:val="00F47064"/>
    <w:rsid w:val="00F47ACA"/>
    <w:rsid w:val="00F529D9"/>
    <w:rsid w:val="00F52E73"/>
    <w:rsid w:val="00F53165"/>
    <w:rsid w:val="00F535E1"/>
    <w:rsid w:val="00F53680"/>
    <w:rsid w:val="00F541BC"/>
    <w:rsid w:val="00F54AAB"/>
    <w:rsid w:val="00F555DE"/>
    <w:rsid w:val="00F57B8B"/>
    <w:rsid w:val="00F57C57"/>
    <w:rsid w:val="00F610C1"/>
    <w:rsid w:val="00F61497"/>
    <w:rsid w:val="00F62E89"/>
    <w:rsid w:val="00F639F1"/>
    <w:rsid w:val="00F6663C"/>
    <w:rsid w:val="00F704C3"/>
    <w:rsid w:val="00F7179F"/>
    <w:rsid w:val="00F72B58"/>
    <w:rsid w:val="00F72B87"/>
    <w:rsid w:val="00F75E84"/>
    <w:rsid w:val="00F82910"/>
    <w:rsid w:val="00F84114"/>
    <w:rsid w:val="00F86870"/>
    <w:rsid w:val="00F86D9C"/>
    <w:rsid w:val="00F87A8B"/>
    <w:rsid w:val="00F90C04"/>
    <w:rsid w:val="00F911EF"/>
    <w:rsid w:val="00F93085"/>
    <w:rsid w:val="00F93FBC"/>
    <w:rsid w:val="00F946A7"/>
    <w:rsid w:val="00F94F04"/>
    <w:rsid w:val="00F95724"/>
    <w:rsid w:val="00F96E98"/>
    <w:rsid w:val="00F96FD6"/>
    <w:rsid w:val="00F97D84"/>
    <w:rsid w:val="00FA0C95"/>
    <w:rsid w:val="00FA0ED2"/>
    <w:rsid w:val="00FA1DCD"/>
    <w:rsid w:val="00FA31BB"/>
    <w:rsid w:val="00FA4EFA"/>
    <w:rsid w:val="00FA5ECE"/>
    <w:rsid w:val="00FA73AB"/>
    <w:rsid w:val="00FB03C2"/>
    <w:rsid w:val="00FB07AE"/>
    <w:rsid w:val="00FB0B27"/>
    <w:rsid w:val="00FB2DF5"/>
    <w:rsid w:val="00FB42E4"/>
    <w:rsid w:val="00FB522D"/>
    <w:rsid w:val="00FB55D2"/>
    <w:rsid w:val="00FB7BF7"/>
    <w:rsid w:val="00FB7DF8"/>
    <w:rsid w:val="00FC0E66"/>
    <w:rsid w:val="00FC12E0"/>
    <w:rsid w:val="00FC166B"/>
    <w:rsid w:val="00FC4DBD"/>
    <w:rsid w:val="00FC5B80"/>
    <w:rsid w:val="00FC6977"/>
    <w:rsid w:val="00FD0D5C"/>
    <w:rsid w:val="00FD1BD8"/>
    <w:rsid w:val="00FD1E7C"/>
    <w:rsid w:val="00FD1EE9"/>
    <w:rsid w:val="00FD2378"/>
    <w:rsid w:val="00FD3A21"/>
    <w:rsid w:val="00FD417C"/>
    <w:rsid w:val="00FD438D"/>
    <w:rsid w:val="00FD575A"/>
    <w:rsid w:val="00FD6CDF"/>
    <w:rsid w:val="00FD6E71"/>
    <w:rsid w:val="00FD7540"/>
    <w:rsid w:val="00FE1D8E"/>
    <w:rsid w:val="00FE2BAC"/>
    <w:rsid w:val="00FE2D8D"/>
    <w:rsid w:val="00FE2F73"/>
    <w:rsid w:val="00FE44D4"/>
    <w:rsid w:val="00FE48D1"/>
    <w:rsid w:val="00FE4D7C"/>
    <w:rsid w:val="00FF584D"/>
    <w:rsid w:val="00FF6B2C"/>
    <w:rsid w:val="00FF709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9246A9-685C-4ABA-9C35-27B6ECF2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25"/>
    <w:pPr>
      <w:spacing w:after="0" w:line="240" w:lineRule="auto"/>
    </w:pPr>
    <w:rPr>
      <w:rFonts w:ascii="Times New Roman" w:eastAsia="Times New Roman" w:hAnsi="Times New Roman"/>
      <w:sz w:val="24"/>
      <w:szCs w:val="24"/>
    </w:rPr>
  </w:style>
  <w:style w:type="paragraph" w:styleId="Heading1">
    <w:name w:val="heading 1"/>
    <w:basedOn w:val="Normal"/>
    <w:link w:val="Heading1Char"/>
    <w:uiPriority w:val="99"/>
    <w:qFormat/>
    <w:rsid w:val="008F0987"/>
    <w:pPr>
      <w:spacing w:before="100" w:beforeAutospacing="1" w:after="100" w:afterAutospacing="1" w:line="264" w:lineRule="atLeast"/>
      <w:outlineLvl w:val="0"/>
    </w:pPr>
    <w:rPr>
      <w:b/>
      <w:bCs/>
      <w:kern w:val="36"/>
      <w:sz w:val="36"/>
      <w:szCs w:val="36"/>
      <w:lang w:val="en-US" w:eastAsia="en-US"/>
    </w:rPr>
  </w:style>
  <w:style w:type="paragraph" w:styleId="Heading2">
    <w:name w:val="heading 2"/>
    <w:basedOn w:val="Normal"/>
    <w:next w:val="BodyText"/>
    <w:link w:val="Heading2Char"/>
    <w:uiPriority w:val="99"/>
    <w:qFormat/>
    <w:rsid w:val="002C5A4A"/>
    <w:pPr>
      <w:numPr>
        <w:ilvl w:val="1"/>
        <w:numId w:val="1"/>
      </w:numPr>
      <w:spacing w:before="280" w:after="280"/>
      <w:outlineLvl w:val="1"/>
    </w:pPr>
    <w:rPr>
      <w:rFonts w:ascii="Helvetica" w:hAnsi="Helvetica"/>
      <w:b/>
      <w:bCs/>
      <w:sz w:val="30"/>
      <w:szCs w:val="30"/>
      <w:lang w:eastAsia="ar-SA"/>
    </w:rPr>
  </w:style>
  <w:style w:type="paragraph" w:styleId="Heading3">
    <w:name w:val="heading 3"/>
    <w:basedOn w:val="Normal"/>
    <w:next w:val="BodyText"/>
    <w:link w:val="Heading3Char"/>
    <w:uiPriority w:val="99"/>
    <w:qFormat/>
    <w:rsid w:val="002C5A4A"/>
    <w:pPr>
      <w:numPr>
        <w:ilvl w:val="2"/>
        <w:numId w:val="1"/>
      </w:numPr>
      <w:spacing w:before="280" w:after="280"/>
      <w:outlineLvl w:val="2"/>
    </w:pPr>
    <w:rPr>
      <w:rFonts w:ascii="Helvetica" w:hAnsi="Helvetica"/>
      <w:b/>
      <w:bCs/>
      <w:lang w:eastAsia="ar-SA"/>
    </w:rPr>
  </w:style>
  <w:style w:type="paragraph" w:styleId="Heading4">
    <w:name w:val="heading 4"/>
    <w:basedOn w:val="Normal"/>
    <w:next w:val="BodyText"/>
    <w:link w:val="Heading4Char"/>
    <w:uiPriority w:val="99"/>
    <w:qFormat/>
    <w:rsid w:val="002C5A4A"/>
    <w:pPr>
      <w:numPr>
        <w:ilvl w:val="3"/>
        <w:numId w:val="1"/>
      </w:numPr>
      <w:spacing w:before="280" w:after="280"/>
      <w:outlineLvl w:val="3"/>
    </w:pPr>
    <w:rPr>
      <w:rFonts w:ascii="Helvetica" w:hAnsi="Helvetica"/>
      <w:b/>
      <w:bCs/>
      <w:sz w:val="21"/>
      <w:szCs w:val="21"/>
      <w:lang w:eastAsia="ar-SA"/>
    </w:rPr>
  </w:style>
  <w:style w:type="paragraph" w:styleId="Heading5">
    <w:name w:val="heading 5"/>
    <w:basedOn w:val="Normal"/>
    <w:next w:val="BodyText"/>
    <w:link w:val="Heading5Char"/>
    <w:uiPriority w:val="99"/>
    <w:qFormat/>
    <w:rsid w:val="002C5A4A"/>
    <w:pPr>
      <w:numPr>
        <w:ilvl w:val="4"/>
        <w:numId w:val="1"/>
      </w:numPr>
      <w:spacing w:before="280" w:after="280"/>
      <w:outlineLvl w:val="4"/>
    </w:pPr>
    <w:rPr>
      <w:rFonts w:ascii="Helvetica" w:hAnsi="Helvetica"/>
      <w:b/>
      <w:bCs/>
      <w:sz w:val="18"/>
      <w:szCs w:val="1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A9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eading5Char">
    <w:name w:val="Heading 5 Char"/>
    <w:link w:val="Heading5"/>
    <w:uiPriority w:val="99"/>
    <w:locked/>
    <w:rsid w:val="002C5A4A"/>
    <w:rPr>
      <w:rFonts w:ascii="Helvetica" w:hAnsi="Helvetica"/>
      <w:b/>
      <w:sz w:val="18"/>
      <w:lang w:eastAsia="ar-SA" w:bidi="ar-SA"/>
    </w:rPr>
  </w:style>
  <w:style w:type="character" w:customStyle="1" w:styleId="HTMLPreformattedChar">
    <w:name w:val="HTML Preformatted Char"/>
    <w:link w:val="HTMLPreformatted"/>
    <w:uiPriority w:val="99"/>
    <w:locked/>
    <w:rsid w:val="00A90C54"/>
    <w:rPr>
      <w:rFonts w:ascii="Courier New" w:hAnsi="Courier New"/>
      <w:sz w:val="20"/>
      <w:lang w:eastAsia="pl-PL"/>
    </w:rPr>
  </w:style>
  <w:style w:type="paragraph" w:styleId="BodyTextIndent">
    <w:name w:val="Body Text Indent"/>
    <w:basedOn w:val="Normal"/>
    <w:link w:val="BodyTextIndentChar"/>
    <w:uiPriority w:val="99"/>
    <w:rsid w:val="00E63C15"/>
    <w:pPr>
      <w:ind w:firstLine="360"/>
      <w:jc w:val="both"/>
    </w:pPr>
    <w:rPr>
      <w:lang w:val="en-GB" w:eastAsia="en-US"/>
    </w:rPr>
  </w:style>
  <w:style w:type="character" w:styleId="Hyperlink">
    <w:name w:val="Hyperlink"/>
    <w:basedOn w:val="DefaultParagraphFont"/>
    <w:uiPriority w:val="99"/>
    <w:rsid w:val="00A90C54"/>
    <w:rPr>
      <w:rFonts w:cs="Times New Roman"/>
      <w:color w:val="0000FF"/>
      <w:u w:val="single"/>
    </w:rPr>
  </w:style>
  <w:style w:type="character" w:customStyle="1" w:styleId="Heading4Char">
    <w:name w:val="Heading 4 Char"/>
    <w:link w:val="Heading4"/>
    <w:uiPriority w:val="99"/>
    <w:locked/>
    <w:rsid w:val="002C5A4A"/>
    <w:rPr>
      <w:rFonts w:ascii="Helvetica" w:hAnsi="Helvetica"/>
      <w:b/>
      <w:sz w:val="21"/>
      <w:lang w:eastAsia="ar-SA" w:bidi="ar-SA"/>
    </w:rPr>
  </w:style>
  <w:style w:type="character" w:customStyle="1" w:styleId="BodyTextIndentChar">
    <w:name w:val="Body Text Indent Char"/>
    <w:basedOn w:val="DefaultParagraphFont"/>
    <w:link w:val="BodyTextIndent"/>
    <w:uiPriority w:val="99"/>
    <w:locked/>
    <w:rsid w:val="00E63C15"/>
    <w:rPr>
      <w:rFonts w:ascii="Times New Roman" w:hAnsi="Times New Roman"/>
      <w:sz w:val="24"/>
      <w:lang w:val="en-GB" w:eastAsia="en-US"/>
    </w:rPr>
  </w:style>
  <w:style w:type="character" w:customStyle="1" w:styleId="Heading2Char">
    <w:name w:val="Heading 2 Char"/>
    <w:link w:val="Heading2"/>
    <w:uiPriority w:val="99"/>
    <w:locked/>
    <w:rsid w:val="002C5A4A"/>
    <w:rPr>
      <w:rFonts w:ascii="Helvetica" w:hAnsi="Helvetica"/>
      <w:b/>
      <w:sz w:val="30"/>
      <w:lang w:eastAsia="ar-SA" w:bidi="ar-SA"/>
    </w:rPr>
  </w:style>
  <w:style w:type="table" w:styleId="TableGrid">
    <w:name w:val="Table Grid"/>
    <w:basedOn w:val="TableNormal"/>
    <w:uiPriority w:val="99"/>
    <w:rsid w:val="004B366E"/>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locked/>
    <w:rsid w:val="0016774C"/>
    <w:rPr>
      <w:rFonts w:ascii="Cambria" w:hAnsi="Cambria"/>
      <w:b/>
      <w:kern w:val="32"/>
      <w:sz w:val="32"/>
    </w:rPr>
  </w:style>
  <w:style w:type="paragraph" w:styleId="BodyText">
    <w:name w:val="Body Text"/>
    <w:basedOn w:val="Normal"/>
    <w:link w:val="BodyTextChar"/>
    <w:uiPriority w:val="99"/>
    <w:rsid w:val="00A2375D"/>
    <w:pPr>
      <w:spacing w:after="120"/>
    </w:pPr>
    <w:rPr>
      <w:rFonts w:ascii="Calibri" w:eastAsia="Calibri" w:hAnsi="Calibri"/>
    </w:rPr>
  </w:style>
  <w:style w:type="character" w:customStyle="1" w:styleId="BodyTextChar">
    <w:name w:val="Body Text Char"/>
    <w:link w:val="BodyText"/>
    <w:uiPriority w:val="99"/>
    <w:locked/>
    <w:rsid w:val="00A2375D"/>
    <w:rPr>
      <w:sz w:val="24"/>
      <w:lang w:val="pl-PL" w:eastAsia="pl-PL"/>
    </w:rPr>
  </w:style>
  <w:style w:type="character" w:customStyle="1" w:styleId="geneid">
    <w:name w:val="geneid"/>
    <w:uiPriority w:val="99"/>
    <w:rsid w:val="004B366E"/>
  </w:style>
  <w:style w:type="character" w:customStyle="1" w:styleId="Heading3Char">
    <w:name w:val="Heading 3 Char"/>
    <w:link w:val="Heading3"/>
    <w:uiPriority w:val="99"/>
    <w:locked/>
    <w:rsid w:val="002C5A4A"/>
    <w:rPr>
      <w:rFonts w:ascii="Helvetica" w:hAnsi="Helvetica"/>
      <w:b/>
      <w:sz w:val="24"/>
      <w:lang w:eastAsia="ar-SA" w:bidi="ar-SA"/>
    </w:rPr>
  </w:style>
  <w:style w:type="character" w:customStyle="1" w:styleId="TekstpodstawowyZnak1">
    <w:name w:val="Tekst podstawowy Znak1"/>
    <w:basedOn w:val="DefaultParagraphFont"/>
    <w:uiPriority w:val="99"/>
    <w:semiHidden/>
    <w:rsid w:val="007122DB"/>
    <w:rPr>
      <w:rFonts w:ascii="Times New Roman" w:eastAsia="Times New Roman" w:hAnsi="Times New Roman"/>
      <w:sz w:val="24"/>
      <w:szCs w:val="24"/>
    </w:rPr>
  </w:style>
  <w:style w:type="character" w:customStyle="1" w:styleId="TekstpodstawowyZnak14">
    <w:name w:val="Tekst podstawowy Znak14"/>
    <w:uiPriority w:val="99"/>
    <w:semiHidden/>
    <w:rsid w:val="0016774C"/>
    <w:rPr>
      <w:rFonts w:ascii="Times New Roman" w:hAnsi="Times New Roman"/>
      <w:sz w:val="24"/>
    </w:rPr>
  </w:style>
  <w:style w:type="character" w:customStyle="1" w:styleId="TekstpodstawowyZnak13">
    <w:name w:val="Tekst podstawowy Znak13"/>
    <w:uiPriority w:val="99"/>
    <w:semiHidden/>
    <w:rsid w:val="0016774C"/>
    <w:rPr>
      <w:rFonts w:ascii="Times New Roman" w:hAnsi="Times New Roman"/>
      <w:sz w:val="24"/>
    </w:rPr>
  </w:style>
  <w:style w:type="character" w:customStyle="1" w:styleId="TekstpodstawowyZnak12">
    <w:name w:val="Tekst podstawowy Znak12"/>
    <w:uiPriority w:val="99"/>
    <w:semiHidden/>
    <w:rsid w:val="0016774C"/>
    <w:rPr>
      <w:rFonts w:ascii="Times New Roman" w:hAnsi="Times New Roman"/>
      <w:sz w:val="24"/>
    </w:rPr>
  </w:style>
  <w:style w:type="character" w:customStyle="1" w:styleId="TekstpodstawowyZnak11">
    <w:name w:val="Tekst podstawowy Znak11"/>
    <w:uiPriority w:val="99"/>
    <w:semiHidden/>
    <w:rsid w:val="0016774C"/>
    <w:rPr>
      <w:rFonts w:ascii="Times New Roman" w:hAnsi="Times New Roman"/>
      <w:sz w:val="24"/>
    </w:rPr>
  </w:style>
  <w:style w:type="character" w:customStyle="1" w:styleId="BodyTextChar1">
    <w:name w:val="Body Text Char1"/>
    <w:uiPriority w:val="99"/>
    <w:semiHidden/>
    <w:rsid w:val="0016774C"/>
    <w:rPr>
      <w:rFonts w:ascii="Times New Roman" w:hAnsi="Times New Roman"/>
      <w:sz w:val="24"/>
    </w:rPr>
  </w:style>
  <w:style w:type="character" w:styleId="Emphasis">
    <w:name w:val="Emphasis"/>
    <w:basedOn w:val="DefaultParagraphFont"/>
    <w:uiPriority w:val="99"/>
    <w:qFormat/>
    <w:rsid w:val="006A574F"/>
    <w:rPr>
      <w:rFonts w:cs="Times New Roman"/>
      <w:i/>
    </w:rPr>
  </w:style>
  <w:style w:type="character" w:customStyle="1" w:styleId="WW8Num2z0">
    <w:name w:val="WW8Num2z0"/>
    <w:uiPriority w:val="99"/>
    <w:rsid w:val="002C5A4A"/>
    <w:rPr>
      <w:rFonts w:ascii="Symbol" w:hAnsi="Symbol"/>
    </w:rPr>
  </w:style>
  <w:style w:type="character" w:customStyle="1" w:styleId="Domylnaczcionkaakapitu4">
    <w:name w:val="Domyślna czcionka akapitu4"/>
    <w:uiPriority w:val="99"/>
    <w:rsid w:val="002C5A4A"/>
  </w:style>
  <w:style w:type="character" w:customStyle="1" w:styleId="Absatz-Standardschriftart">
    <w:name w:val="Absatz-Standardschriftart"/>
    <w:uiPriority w:val="99"/>
    <w:rsid w:val="002C5A4A"/>
  </w:style>
  <w:style w:type="character" w:customStyle="1" w:styleId="Domylnaczcionkaakapitu3">
    <w:name w:val="Domyślna czcionka akapitu3"/>
    <w:uiPriority w:val="99"/>
    <w:rsid w:val="002C5A4A"/>
  </w:style>
  <w:style w:type="character" w:customStyle="1" w:styleId="WW-Absatz-Standardschriftart">
    <w:name w:val="WW-Absatz-Standardschriftart"/>
    <w:uiPriority w:val="99"/>
    <w:rsid w:val="002C5A4A"/>
  </w:style>
  <w:style w:type="character" w:customStyle="1" w:styleId="WW8Num1z0">
    <w:name w:val="WW8Num1z0"/>
    <w:uiPriority w:val="99"/>
    <w:rsid w:val="002C5A4A"/>
    <w:rPr>
      <w:rFonts w:ascii="Symbol" w:hAnsi="Symbol"/>
    </w:rPr>
  </w:style>
  <w:style w:type="character" w:customStyle="1" w:styleId="Domylnaczcionkaakapitu2">
    <w:name w:val="Domyślna czcionka akapitu2"/>
    <w:uiPriority w:val="99"/>
    <w:rsid w:val="002C5A4A"/>
  </w:style>
  <w:style w:type="character" w:customStyle="1" w:styleId="WW-Absatz-Standardschriftart1">
    <w:name w:val="WW-Absatz-Standardschriftart1"/>
    <w:uiPriority w:val="99"/>
    <w:rsid w:val="002C5A4A"/>
  </w:style>
  <w:style w:type="character" w:customStyle="1" w:styleId="WW-Absatz-Standardschriftart11">
    <w:name w:val="WW-Absatz-Standardschriftart11"/>
    <w:uiPriority w:val="99"/>
    <w:rsid w:val="002C5A4A"/>
  </w:style>
  <w:style w:type="character" w:customStyle="1" w:styleId="DefaultParagraphFont1">
    <w:name w:val="Default Paragraph Font1"/>
    <w:uiPriority w:val="99"/>
    <w:rsid w:val="002C5A4A"/>
  </w:style>
  <w:style w:type="character" w:customStyle="1" w:styleId="WW8Num1z1">
    <w:name w:val="WW8Num1z1"/>
    <w:uiPriority w:val="99"/>
    <w:rsid w:val="002C5A4A"/>
    <w:rPr>
      <w:rFonts w:ascii="Courier New" w:hAnsi="Courier New"/>
    </w:rPr>
  </w:style>
  <w:style w:type="character" w:customStyle="1" w:styleId="WW8Num1z2">
    <w:name w:val="WW8Num1z2"/>
    <w:uiPriority w:val="99"/>
    <w:rsid w:val="002C5A4A"/>
    <w:rPr>
      <w:rFonts w:ascii="Wingdings" w:hAnsi="Wingdings"/>
    </w:rPr>
  </w:style>
  <w:style w:type="character" w:customStyle="1" w:styleId="Domylnaczcionkaakapitu1">
    <w:name w:val="Domyślna czcionka akapitu1"/>
    <w:uiPriority w:val="99"/>
    <w:rsid w:val="002C5A4A"/>
  </w:style>
  <w:style w:type="character" w:customStyle="1" w:styleId="Znakiprzypiswdolnych">
    <w:name w:val="Znaki przypisów dolnych"/>
    <w:uiPriority w:val="99"/>
    <w:rsid w:val="002C5A4A"/>
    <w:rPr>
      <w:vertAlign w:val="superscript"/>
    </w:rPr>
  </w:style>
  <w:style w:type="character" w:customStyle="1" w:styleId="ZagicieodgryformularzaZnak">
    <w:name w:val="Zagięcie od góry formularza Znak"/>
    <w:uiPriority w:val="99"/>
    <w:rsid w:val="002C5A4A"/>
    <w:rPr>
      <w:rFonts w:ascii="Arial" w:hAnsi="Arial"/>
      <w:vanish/>
      <w:sz w:val="16"/>
    </w:rPr>
  </w:style>
  <w:style w:type="character" w:customStyle="1" w:styleId="ZagicieoddouformularzaZnak">
    <w:name w:val="Zagięcie od dołu formularza Znak"/>
    <w:uiPriority w:val="99"/>
    <w:rsid w:val="002C5A4A"/>
    <w:rPr>
      <w:rFonts w:ascii="Arial" w:hAnsi="Arial"/>
      <w:vanish/>
      <w:sz w:val="16"/>
    </w:rPr>
  </w:style>
  <w:style w:type="character" w:customStyle="1" w:styleId="TekstdymkaZnak">
    <w:name w:val="Tekst dymka Znak"/>
    <w:uiPriority w:val="99"/>
    <w:rsid w:val="002C5A4A"/>
    <w:rPr>
      <w:rFonts w:ascii="Tahoma" w:hAnsi="Tahoma"/>
      <w:sz w:val="16"/>
    </w:rPr>
  </w:style>
  <w:style w:type="character" w:styleId="HTMLCode">
    <w:name w:val="HTML Code"/>
    <w:basedOn w:val="DefaultParagraphFont"/>
    <w:uiPriority w:val="99"/>
    <w:rsid w:val="002C5A4A"/>
    <w:rPr>
      <w:rFonts w:ascii="Courier New" w:hAnsi="Courier New" w:cs="Times New Roman"/>
      <w:sz w:val="20"/>
    </w:rPr>
  </w:style>
  <w:style w:type="character" w:customStyle="1" w:styleId="nbapihighlight1">
    <w:name w:val="nbapihighlight1"/>
    <w:uiPriority w:val="99"/>
    <w:rsid w:val="002C5A4A"/>
  </w:style>
  <w:style w:type="character" w:customStyle="1" w:styleId="viewwithinbtn1">
    <w:name w:val="viewwithinbtn1"/>
    <w:uiPriority w:val="99"/>
    <w:rsid w:val="002C5A4A"/>
    <w:rPr>
      <w:b/>
      <w:color w:val="666666"/>
      <w:sz w:val="17"/>
      <w:u w:val="none"/>
      <w:shd w:val="clear" w:color="auto" w:fill="EEEEEE"/>
    </w:rPr>
  </w:style>
  <w:style w:type="character" w:customStyle="1" w:styleId="nbapihighlightmo">
    <w:name w:val="nbapihighlightmo"/>
    <w:uiPriority w:val="99"/>
    <w:rsid w:val="002C5A4A"/>
    <w:rPr>
      <w:shd w:val="clear" w:color="auto" w:fill="C0C0FF"/>
    </w:rPr>
  </w:style>
  <w:style w:type="character" w:styleId="Strong">
    <w:name w:val="Strong"/>
    <w:basedOn w:val="DefaultParagraphFont"/>
    <w:uiPriority w:val="99"/>
    <w:qFormat/>
    <w:rsid w:val="002C5A4A"/>
    <w:rPr>
      <w:rFonts w:cs="Times New Roman"/>
      <w:b/>
    </w:rPr>
  </w:style>
  <w:style w:type="character" w:customStyle="1" w:styleId="name">
    <w:name w:val="name"/>
    <w:uiPriority w:val="99"/>
    <w:rsid w:val="002C5A4A"/>
  </w:style>
  <w:style w:type="character" w:customStyle="1" w:styleId="src1">
    <w:name w:val="src1"/>
    <w:uiPriority w:val="99"/>
    <w:rsid w:val="002C5A4A"/>
  </w:style>
  <w:style w:type="character" w:customStyle="1" w:styleId="jrnl">
    <w:name w:val="jrnl"/>
    <w:uiPriority w:val="99"/>
    <w:rsid w:val="002C5A4A"/>
  </w:style>
  <w:style w:type="character" w:customStyle="1" w:styleId="NagwekZnak">
    <w:name w:val="Nagłówek Znak"/>
    <w:uiPriority w:val="99"/>
    <w:rsid w:val="002C5A4A"/>
    <w:rPr>
      <w:sz w:val="24"/>
    </w:rPr>
  </w:style>
  <w:style w:type="character" w:customStyle="1" w:styleId="StopkaZnak">
    <w:name w:val="Stopka Znak"/>
    <w:uiPriority w:val="99"/>
    <w:rsid w:val="002C5A4A"/>
    <w:rPr>
      <w:sz w:val="24"/>
    </w:rPr>
  </w:style>
  <w:style w:type="character" w:customStyle="1" w:styleId="Nagwek1Znak">
    <w:name w:val="Nagłówek 1 Znak"/>
    <w:uiPriority w:val="99"/>
    <w:rsid w:val="002C5A4A"/>
    <w:rPr>
      <w:rFonts w:ascii="Helvetica" w:hAnsi="Helvetica"/>
      <w:b/>
      <w:kern w:val="1"/>
      <w:sz w:val="36"/>
    </w:rPr>
  </w:style>
  <w:style w:type="character" w:customStyle="1" w:styleId="Nagwek2Znak">
    <w:name w:val="Nagłówek 2 Znak"/>
    <w:uiPriority w:val="99"/>
    <w:rsid w:val="002C5A4A"/>
    <w:rPr>
      <w:rFonts w:ascii="Helvetica" w:hAnsi="Helvetica"/>
      <w:b/>
      <w:sz w:val="30"/>
    </w:rPr>
  </w:style>
  <w:style w:type="character" w:customStyle="1" w:styleId="Nagwek3Znak">
    <w:name w:val="Nagłówek 3 Znak"/>
    <w:uiPriority w:val="99"/>
    <w:rsid w:val="002C5A4A"/>
    <w:rPr>
      <w:rFonts w:ascii="Helvetica" w:hAnsi="Helvetica"/>
      <w:b/>
      <w:sz w:val="24"/>
    </w:rPr>
  </w:style>
  <w:style w:type="character" w:customStyle="1" w:styleId="Nagwek4Znak">
    <w:name w:val="Nagłówek 4 Znak"/>
    <w:uiPriority w:val="99"/>
    <w:rsid w:val="002C5A4A"/>
    <w:rPr>
      <w:rFonts w:ascii="Helvetica" w:hAnsi="Helvetica"/>
      <w:b/>
      <w:sz w:val="21"/>
    </w:rPr>
  </w:style>
  <w:style w:type="character" w:customStyle="1" w:styleId="Nagwek5Znak">
    <w:name w:val="Nagłówek 5 Znak"/>
    <w:uiPriority w:val="99"/>
    <w:rsid w:val="002C5A4A"/>
    <w:rPr>
      <w:rFonts w:ascii="Helvetica" w:hAnsi="Helvetica"/>
      <w:b/>
      <w:sz w:val="18"/>
    </w:rPr>
  </w:style>
  <w:style w:type="character" w:customStyle="1" w:styleId="HTML-wstpniesformatowanyZnak">
    <w:name w:val="HTML - wstępnie sformatowany Znak"/>
    <w:uiPriority w:val="99"/>
    <w:rsid w:val="002C5A4A"/>
    <w:rPr>
      <w:rFonts w:ascii="Courier New" w:hAnsi="Courier New"/>
      <w:sz w:val="18"/>
    </w:rPr>
  </w:style>
  <w:style w:type="paragraph" w:customStyle="1" w:styleId="Nagwek4">
    <w:name w:val="Nagłówek4"/>
    <w:basedOn w:val="Normal"/>
    <w:next w:val="BodyText"/>
    <w:uiPriority w:val="99"/>
    <w:rsid w:val="002C5A4A"/>
    <w:pPr>
      <w:keepNext/>
      <w:suppressAutoHyphens/>
      <w:spacing w:before="240" w:after="120"/>
    </w:pPr>
    <w:rPr>
      <w:rFonts w:ascii="Arial" w:eastAsia="SimSun" w:hAnsi="Arial" w:cs="Mangal"/>
      <w:sz w:val="28"/>
      <w:szCs w:val="28"/>
      <w:lang w:eastAsia="ar-SA"/>
    </w:rPr>
  </w:style>
  <w:style w:type="paragraph" w:styleId="List">
    <w:name w:val="List"/>
    <w:basedOn w:val="BodyText"/>
    <w:uiPriority w:val="99"/>
    <w:rsid w:val="002C5A4A"/>
    <w:pPr>
      <w:suppressAutoHyphens/>
    </w:pPr>
    <w:rPr>
      <w:rFonts w:cs="Mangal"/>
      <w:lang w:eastAsia="ar-SA"/>
    </w:rPr>
  </w:style>
  <w:style w:type="paragraph" w:customStyle="1" w:styleId="Podpis4">
    <w:name w:val="Podpis4"/>
    <w:basedOn w:val="Normal"/>
    <w:uiPriority w:val="99"/>
    <w:rsid w:val="002C5A4A"/>
    <w:pPr>
      <w:suppressLineNumbers/>
      <w:suppressAutoHyphens/>
      <w:spacing w:before="120" w:after="120"/>
    </w:pPr>
    <w:rPr>
      <w:rFonts w:cs="Mangal"/>
      <w:i/>
      <w:iCs/>
      <w:lang w:eastAsia="ar-SA"/>
    </w:rPr>
  </w:style>
  <w:style w:type="paragraph" w:customStyle="1" w:styleId="Indeks">
    <w:name w:val="Indeks"/>
    <w:basedOn w:val="Normal"/>
    <w:uiPriority w:val="99"/>
    <w:rsid w:val="002C5A4A"/>
    <w:pPr>
      <w:suppressLineNumbers/>
      <w:suppressAutoHyphens/>
    </w:pPr>
    <w:rPr>
      <w:rFonts w:cs="Mangal"/>
      <w:lang w:eastAsia="ar-SA"/>
    </w:rPr>
  </w:style>
  <w:style w:type="paragraph" w:customStyle="1" w:styleId="Nagwek3">
    <w:name w:val="Nagłówek3"/>
    <w:basedOn w:val="Normal"/>
    <w:next w:val="BodyText"/>
    <w:uiPriority w:val="99"/>
    <w:rsid w:val="002C5A4A"/>
    <w:pPr>
      <w:keepNext/>
      <w:suppressAutoHyphens/>
      <w:spacing w:before="240" w:after="120"/>
    </w:pPr>
    <w:rPr>
      <w:rFonts w:ascii="Arial" w:eastAsia="SimSun" w:hAnsi="Arial" w:cs="Mangal"/>
      <w:sz w:val="28"/>
      <w:szCs w:val="28"/>
      <w:lang w:eastAsia="ar-SA"/>
    </w:rPr>
  </w:style>
  <w:style w:type="paragraph" w:customStyle="1" w:styleId="Podpis3">
    <w:name w:val="Podpis3"/>
    <w:basedOn w:val="Normal"/>
    <w:uiPriority w:val="99"/>
    <w:rsid w:val="002C5A4A"/>
    <w:pPr>
      <w:suppressLineNumbers/>
      <w:suppressAutoHyphens/>
      <w:spacing w:before="120" w:after="120"/>
    </w:pPr>
    <w:rPr>
      <w:rFonts w:cs="Mangal"/>
      <w:i/>
      <w:iCs/>
      <w:lang w:eastAsia="ar-SA"/>
    </w:rPr>
  </w:style>
  <w:style w:type="paragraph" w:customStyle="1" w:styleId="Nagwek2">
    <w:name w:val="Nagłówek2"/>
    <w:basedOn w:val="Normal"/>
    <w:next w:val="BodyText"/>
    <w:uiPriority w:val="99"/>
    <w:rsid w:val="002C5A4A"/>
    <w:pPr>
      <w:keepNext/>
      <w:suppressAutoHyphens/>
      <w:spacing w:before="240" w:after="120"/>
    </w:pPr>
    <w:rPr>
      <w:rFonts w:ascii="Arial" w:eastAsia="SimSun" w:hAnsi="Arial" w:cs="Mangal"/>
      <w:sz w:val="28"/>
      <w:szCs w:val="28"/>
      <w:lang w:eastAsia="ar-SA"/>
    </w:rPr>
  </w:style>
  <w:style w:type="paragraph" w:customStyle="1" w:styleId="Podpis2">
    <w:name w:val="Podpis2"/>
    <w:basedOn w:val="Normal"/>
    <w:uiPriority w:val="99"/>
    <w:rsid w:val="002C5A4A"/>
    <w:pPr>
      <w:suppressLineNumbers/>
      <w:suppressAutoHyphens/>
      <w:spacing w:before="120" w:after="120"/>
    </w:pPr>
    <w:rPr>
      <w:rFonts w:cs="Mangal"/>
      <w:i/>
      <w:iCs/>
      <w:lang w:eastAsia="ar-SA"/>
    </w:rPr>
  </w:style>
  <w:style w:type="paragraph" w:customStyle="1" w:styleId="Nagwek1">
    <w:name w:val="Nagłówek1"/>
    <w:basedOn w:val="Normal"/>
    <w:next w:val="BodyText"/>
    <w:uiPriority w:val="99"/>
    <w:rsid w:val="002C5A4A"/>
    <w:pPr>
      <w:keepNext/>
      <w:suppressAutoHyphens/>
      <w:spacing w:before="240" w:after="120"/>
    </w:pPr>
    <w:rPr>
      <w:rFonts w:ascii="Arial" w:eastAsia="SimSun" w:hAnsi="Arial" w:cs="Mangal"/>
      <w:sz w:val="28"/>
      <w:szCs w:val="28"/>
      <w:lang w:eastAsia="ar-SA"/>
    </w:rPr>
  </w:style>
  <w:style w:type="paragraph" w:customStyle="1" w:styleId="Podpis1">
    <w:name w:val="Podpis1"/>
    <w:basedOn w:val="Normal"/>
    <w:uiPriority w:val="99"/>
    <w:rsid w:val="002C5A4A"/>
    <w:pPr>
      <w:suppressLineNumbers/>
      <w:suppressAutoHyphens/>
      <w:spacing w:before="120" w:after="120"/>
    </w:pPr>
    <w:rPr>
      <w:rFonts w:cs="Mangal"/>
      <w:i/>
      <w:iCs/>
      <w:lang w:eastAsia="ar-SA"/>
    </w:rPr>
  </w:style>
  <w:style w:type="paragraph" w:styleId="FootnoteText">
    <w:name w:val="footnote text"/>
    <w:basedOn w:val="Normal"/>
    <w:link w:val="FootnoteTextChar"/>
    <w:uiPriority w:val="99"/>
    <w:rsid w:val="002C5A4A"/>
    <w:pPr>
      <w:suppressAutoHyphens/>
    </w:pPr>
    <w:rPr>
      <w:sz w:val="20"/>
      <w:szCs w:val="20"/>
      <w:lang w:eastAsia="ar-SA"/>
    </w:rPr>
  </w:style>
  <w:style w:type="character" w:customStyle="1" w:styleId="FootnoteTextChar">
    <w:name w:val="Footnote Text Char"/>
    <w:basedOn w:val="DefaultParagraphFont"/>
    <w:link w:val="FootnoteText"/>
    <w:uiPriority w:val="99"/>
    <w:locked/>
    <w:rsid w:val="002C5A4A"/>
    <w:rPr>
      <w:rFonts w:ascii="Times New Roman" w:hAnsi="Times New Roman"/>
      <w:lang w:eastAsia="ar-SA" w:bidi="ar-SA"/>
    </w:rPr>
  </w:style>
  <w:style w:type="paragraph" w:customStyle="1" w:styleId="Zawartotabeli">
    <w:name w:val="Zawartość tabeli"/>
    <w:basedOn w:val="Normal"/>
    <w:uiPriority w:val="99"/>
    <w:rsid w:val="002C5A4A"/>
    <w:pPr>
      <w:suppressLineNumbers/>
      <w:suppressAutoHyphens/>
    </w:pPr>
    <w:rPr>
      <w:lang w:eastAsia="ar-SA"/>
    </w:rPr>
  </w:style>
  <w:style w:type="paragraph" w:customStyle="1" w:styleId="Nagwektabeli">
    <w:name w:val="Nagłówek tabeli"/>
    <w:basedOn w:val="Zawartotabeli"/>
    <w:uiPriority w:val="99"/>
    <w:rsid w:val="002C5A4A"/>
    <w:pPr>
      <w:jc w:val="center"/>
    </w:pPr>
    <w:rPr>
      <w:b/>
      <w:bCs/>
    </w:rPr>
  </w:style>
  <w:style w:type="paragraph" w:styleId="z-TopofForm">
    <w:name w:val="HTML Top of Form"/>
    <w:basedOn w:val="Normal"/>
    <w:next w:val="Normal"/>
    <w:link w:val="z-TopofFormChar"/>
    <w:uiPriority w:val="99"/>
    <w:rsid w:val="002C5A4A"/>
    <w:pPr>
      <w:pBdr>
        <w:bottom w:val="single" w:sz="4" w:space="1" w:color="000000"/>
      </w:pBdr>
      <w:jc w:val="center"/>
    </w:pPr>
    <w:rPr>
      <w:rFonts w:ascii="Arial" w:hAnsi="Arial"/>
      <w:vanish/>
      <w:sz w:val="16"/>
      <w:szCs w:val="16"/>
      <w:lang w:eastAsia="ar-SA"/>
    </w:rPr>
  </w:style>
  <w:style w:type="character" w:customStyle="1" w:styleId="z-TopofFormChar">
    <w:name w:val="z-Top of Form Char"/>
    <w:basedOn w:val="DefaultParagraphFont"/>
    <w:link w:val="z-TopofForm"/>
    <w:uiPriority w:val="99"/>
    <w:locked/>
    <w:rsid w:val="002C5A4A"/>
    <w:rPr>
      <w:rFonts w:ascii="Arial" w:hAnsi="Arial"/>
      <w:vanish/>
      <w:sz w:val="16"/>
      <w:lang w:eastAsia="ar-SA" w:bidi="ar-SA"/>
    </w:rPr>
  </w:style>
  <w:style w:type="paragraph" w:styleId="z-BottomofForm">
    <w:name w:val="HTML Bottom of Form"/>
    <w:basedOn w:val="Normal"/>
    <w:next w:val="Normal"/>
    <w:link w:val="z-BottomofFormChar"/>
    <w:uiPriority w:val="99"/>
    <w:rsid w:val="002C5A4A"/>
    <w:pPr>
      <w:pBdr>
        <w:top w:val="single" w:sz="4" w:space="1" w:color="000000"/>
      </w:pBdr>
      <w:jc w:val="center"/>
    </w:pPr>
    <w:rPr>
      <w:rFonts w:ascii="Arial" w:hAnsi="Arial"/>
      <w:vanish/>
      <w:sz w:val="16"/>
      <w:szCs w:val="16"/>
      <w:lang w:eastAsia="ar-SA"/>
    </w:rPr>
  </w:style>
  <w:style w:type="character" w:customStyle="1" w:styleId="z-BottomofFormChar">
    <w:name w:val="z-Bottom of Form Char"/>
    <w:basedOn w:val="DefaultParagraphFont"/>
    <w:link w:val="z-BottomofForm"/>
    <w:uiPriority w:val="99"/>
    <w:locked/>
    <w:rsid w:val="002C5A4A"/>
    <w:rPr>
      <w:rFonts w:ascii="Arial" w:hAnsi="Arial"/>
      <w:vanish/>
      <w:sz w:val="16"/>
      <w:lang w:eastAsia="ar-SA" w:bidi="ar-SA"/>
    </w:rPr>
  </w:style>
  <w:style w:type="paragraph" w:styleId="BalloonText">
    <w:name w:val="Balloon Text"/>
    <w:basedOn w:val="Normal"/>
    <w:link w:val="BalloonTextChar"/>
    <w:uiPriority w:val="99"/>
    <w:rsid w:val="002C5A4A"/>
    <w:pPr>
      <w:suppressAutoHyphens/>
    </w:pPr>
    <w:rPr>
      <w:rFonts w:ascii="Tahoma" w:hAnsi="Tahoma"/>
      <w:sz w:val="16"/>
      <w:szCs w:val="16"/>
      <w:lang w:eastAsia="ar-SA"/>
    </w:rPr>
  </w:style>
  <w:style w:type="character" w:customStyle="1" w:styleId="BalloonTextChar">
    <w:name w:val="Balloon Text Char"/>
    <w:basedOn w:val="DefaultParagraphFont"/>
    <w:link w:val="BalloonText"/>
    <w:uiPriority w:val="99"/>
    <w:locked/>
    <w:rsid w:val="002C5A4A"/>
    <w:rPr>
      <w:rFonts w:ascii="Tahoma" w:hAnsi="Tahoma"/>
      <w:sz w:val="16"/>
      <w:lang w:eastAsia="ar-SA" w:bidi="ar-SA"/>
    </w:rPr>
  </w:style>
  <w:style w:type="paragraph" w:styleId="NormalWeb">
    <w:name w:val="Normal (Web)"/>
    <w:basedOn w:val="Normal"/>
    <w:uiPriority w:val="99"/>
    <w:rsid w:val="002C5A4A"/>
    <w:pPr>
      <w:spacing w:line="360" w:lineRule="auto"/>
    </w:pPr>
    <w:rPr>
      <w:color w:val="000000"/>
      <w:lang w:eastAsia="ar-SA"/>
    </w:rPr>
  </w:style>
  <w:style w:type="paragraph" w:customStyle="1" w:styleId="citation">
    <w:name w:val="citation"/>
    <w:basedOn w:val="Normal"/>
    <w:uiPriority w:val="99"/>
    <w:rsid w:val="002C5A4A"/>
    <w:pPr>
      <w:spacing w:before="280" w:after="280"/>
    </w:pPr>
    <w:rPr>
      <w:lang w:eastAsia="ar-SA"/>
    </w:rPr>
  </w:style>
  <w:style w:type="paragraph" w:customStyle="1" w:styleId="authlist">
    <w:name w:val="auth_list"/>
    <w:basedOn w:val="Normal"/>
    <w:uiPriority w:val="99"/>
    <w:rsid w:val="002C5A4A"/>
    <w:pPr>
      <w:spacing w:before="280" w:after="280"/>
    </w:pPr>
    <w:rPr>
      <w:lang w:eastAsia="ar-SA"/>
    </w:rPr>
  </w:style>
  <w:style w:type="paragraph" w:customStyle="1" w:styleId="first-child1">
    <w:name w:val="first-child1"/>
    <w:basedOn w:val="Normal"/>
    <w:uiPriority w:val="99"/>
    <w:rsid w:val="002C5A4A"/>
    <w:pPr>
      <w:spacing w:before="225" w:after="225"/>
    </w:pPr>
    <w:rPr>
      <w:lang w:eastAsia="ar-SA"/>
    </w:rPr>
  </w:style>
  <w:style w:type="paragraph" w:customStyle="1" w:styleId="title1">
    <w:name w:val="title1"/>
    <w:basedOn w:val="Normal"/>
    <w:uiPriority w:val="99"/>
    <w:rsid w:val="002C5A4A"/>
    <w:rPr>
      <w:sz w:val="29"/>
      <w:szCs w:val="29"/>
      <w:lang w:eastAsia="ar-SA"/>
    </w:rPr>
  </w:style>
  <w:style w:type="paragraph" w:customStyle="1" w:styleId="rprtbody1">
    <w:name w:val="rprtbody1"/>
    <w:basedOn w:val="Normal"/>
    <w:uiPriority w:val="99"/>
    <w:rsid w:val="002C5A4A"/>
    <w:pPr>
      <w:spacing w:before="34" w:after="34"/>
    </w:pPr>
    <w:rPr>
      <w:sz w:val="28"/>
      <w:szCs w:val="28"/>
      <w:lang w:eastAsia="ar-SA"/>
    </w:rPr>
  </w:style>
  <w:style w:type="paragraph" w:customStyle="1" w:styleId="aux1">
    <w:name w:val="aux1"/>
    <w:basedOn w:val="Normal"/>
    <w:uiPriority w:val="99"/>
    <w:rsid w:val="002C5A4A"/>
    <w:pPr>
      <w:spacing w:line="320" w:lineRule="atLeast"/>
    </w:pPr>
    <w:rPr>
      <w:lang w:eastAsia="ar-SA"/>
    </w:rPr>
  </w:style>
  <w:style w:type="paragraph" w:styleId="Header">
    <w:name w:val="header"/>
    <w:basedOn w:val="Normal"/>
    <w:link w:val="HeaderChar"/>
    <w:uiPriority w:val="99"/>
    <w:rsid w:val="002C5A4A"/>
    <w:pPr>
      <w:tabs>
        <w:tab w:val="center" w:pos="4536"/>
        <w:tab w:val="right" w:pos="9072"/>
      </w:tabs>
      <w:suppressAutoHyphens/>
    </w:pPr>
    <w:rPr>
      <w:lang w:eastAsia="ar-SA"/>
    </w:rPr>
  </w:style>
  <w:style w:type="character" w:customStyle="1" w:styleId="HeaderChar">
    <w:name w:val="Header Char"/>
    <w:basedOn w:val="DefaultParagraphFont"/>
    <w:link w:val="Header"/>
    <w:uiPriority w:val="99"/>
    <w:locked/>
    <w:rsid w:val="002C5A4A"/>
    <w:rPr>
      <w:rFonts w:ascii="Times New Roman" w:hAnsi="Times New Roman"/>
      <w:sz w:val="24"/>
      <w:lang w:eastAsia="ar-SA" w:bidi="ar-SA"/>
    </w:rPr>
  </w:style>
  <w:style w:type="paragraph" w:styleId="Footer">
    <w:name w:val="footer"/>
    <w:basedOn w:val="Normal"/>
    <w:link w:val="FooterChar"/>
    <w:uiPriority w:val="99"/>
    <w:rsid w:val="002C5A4A"/>
    <w:pPr>
      <w:tabs>
        <w:tab w:val="center" w:pos="4536"/>
        <w:tab w:val="right" w:pos="9072"/>
      </w:tabs>
      <w:suppressAutoHyphens/>
    </w:pPr>
    <w:rPr>
      <w:lang w:eastAsia="ar-SA"/>
    </w:rPr>
  </w:style>
  <w:style w:type="character" w:customStyle="1" w:styleId="FooterChar">
    <w:name w:val="Footer Char"/>
    <w:basedOn w:val="DefaultParagraphFont"/>
    <w:link w:val="Footer"/>
    <w:uiPriority w:val="99"/>
    <w:locked/>
    <w:rsid w:val="002C5A4A"/>
    <w:rPr>
      <w:rFonts w:ascii="Times New Roman" w:hAnsi="Times New Roman"/>
      <w:sz w:val="24"/>
      <w:lang w:eastAsia="ar-SA" w:bidi="ar-SA"/>
    </w:rPr>
  </w:style>
  <w:style w:type="paragraph" w:customStyle="1" w:styleId="Zawartoramki">
    <w:name w:val="Zawartość ramki"/>
    <w:basedOn w:val="BodyText"/>
    <w:uiPriority w:val="99"/>
    <w:rsid w:val="002C5A4A"/>
    <w:pPr>
      <w:suppressAutoHyphens/>
    </w:pPr>
    <w:rPr>
      <w:lang w:eastAsia="ar-SA"/>
    </w:rPr>
  </w:style>
  <w:style w:type="paragraph" w:customStyle="1" w:styleId="Standard">
    <w:name w:val="Standard"/>
    <w:uiPriority w:val="99"/>
    <w:rsid w:val="002C5A4A"/>
    <w:pPr>
      <w:widowControl w:val="0"/>
      <w:suppressAutoHyphens/>
      <w:spacing w:after="0" w:line="240" w:lineRule="auto"/>
      <w:textAlignment w:val="baseline"/>
    </w:pPr>
    <w:rPr>
      <w:rFonts w:ascii="Times New Roman" w:hAnsi="Times New Roman"/>
      <w:kern w:val="1"/>
      <w:sz w:val="24"/>
      <w:szCs w:val="24"/>
      <w:lang w:val="de-DE" w:eastAsia="fa-IR" w:bidi="fa-IR"/>
    </w:rPr>
  </w:style>
  <w:style w:type="table" w:customStyle="1" w:styleId="TableGrid1">
    <w:name w:val="Table Grid1"/>
    <w:uiPriority w:val="99"/>
    <w:rsid w:val="002C5A4A"/>
    <w:pPr>
      <w:spacing w:after="0" w:line="240" w:lineRule="auto"/>
    </w:pPr>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374C21"/>
    <w:pPr>
      <w:spacing w:after="0" w:line="240" w:lineRule="auto"/>
    </w:pPr>
    <w:rPr>
      <w:rFonts w:ascii="Times New Roman"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BD323D"/>
    <w:pPr>
      <w:spacing w:after="0" w:line="240" w:lineRule="auto"/>
    </w:pPr>
    <w:rPr>
      <w:rFonts w:ascii="Times New Roman" w:hAnsi="Times New Roman"/>
      <w:sz w:val="24"/>
      <w:lang w:eastAsia="en-US"/>
    </w:rPr>
  </w:style>
  <w:style w:type="paragraph" w:styleId="ListParagraph">
    <w:name w:val="List Paragraph"/>
    <w:basedOn w:val="Normal"/>
    <w:uiPriority w:val="99"/>
    <w:qFormat/>
    <w:rsid w:val="00BD323D"/>
    <w:pPr>
      <w:spacing w:after="200" w:line="276" w:lineRule="auto"/>
      <w:ind w:left="720"/>
      <w:contextualSpacing/>
    </w:pPr>
    <w:rPr>
      <w:rFonts w:eastAsia="Calibri"/>
      <w:szCs w:val="22"/>
      <w:lang w:eastAsia="en-US"/>
    </w:rPr>
  </w:style>
  <w:style w:type="character" w:styleId="FollowedHyperlink">
    <w:name w:val="FollowedHyperlink"/>
    <w:basedOn w:val="DefaultParagraphFont"/>
    <w:uiPriority w:val="99"/>
    <w:semiHidden/>
    <w:rsid w:val="00F946A7"/>
    <w:rPr>
      <w:rFonts w:cs="Times New Roman"/>
      <w:color w:val="954F72"/>
      <w:u w:val="single"/>
    </w:rPr>
  </w:style>
  <w:style w:type="paragraph" w:customStyle="1" w:styleId="font5">
    <w:name w:val="font5"/>
    <w:basedOn w:val="Normal"/>
    <w:uiPriority w:val="99"/>
    <w:rsid w:val="00F946A7"/>
    <w:pPr>
      <w:spacing w:before="100" w:beforeAutospacing="1" w:after="100" w:afterAutospacing="1"/>
    </w:pPr>
    <w:rPr>
      <w:rFonts w:ascii="Calibri" w:hAnsi="Calibri"/>
      <w:b/>
      <w:bCs/>
      <w:color w:val="000000"/>
      <w:sz w:val="22"/>
      <w:szCs w:val="22"/>
    </w:rPr>
  </w:style>
  <w:style w:type="paragraph" w:customStyle="1" w:styleId="font6">
    <w:name w:val="font6"/>
    <w:basedOn w:val="Normal"/>
    <w:uiPriority w:val="99"/>
    <w:rsid w:val="00F946A7"/>
    <w:pPr>
      <w:spacing w:before="100" w:beforeAutospacing="1" w:after="100" w:afterAutospacing="1"/>
    </w:pPr>
    <w:rPr>
      <w:rFonts w:ascii="Calibri" w:hAnsi="Calibri"/>
      <w:b/>
      <w:bCs/>
      <w:color w:val="000000"/>
      <w:sz w:val="22"/>
      <w:szCs w:val="22"/>
    </w:rPr>
  </w:style>
  <w:style w:type="paragraph" w:customStyle="1" w:styleId="xl65">
    <w:name w:val="xl65"/>
    <w:basedOn w:val="Normal"/>
    <w:uiPriority w:val="99"/>
    <w:rsid w:val="00F946A7"/>
    <w:pPr>
      <w:spacing w:before="100" w:beforeAutospacing="1" w:after="100" w:afterAutospacing="1"/>
      <w:textAlignment w:val="top"/>
    </w:pPr>
  </w:style>
  <w:style w:type="paragraph" w:customStyle="1" w:styleId="xl66">
    <w:name w:val="xl66"/>
    <w:basedOn w:val="Normal"/>
    <w:uiPriority w:val="99"/>
    <w:rsid w:val="00F946A7"/>
    <w:pPr>
      <w:spacing w:before="100" w:beforeAutospacing="1" w:after="100" w:afterAutospacing="1"/>
      <w:textAlignment w:val="top"/>
    </w:pPr>
  </w:style>
  <w:style w:type="paragraph" w:customStyle="1" w:styleId="xl67">
    <w:name w:val="xl67"/>
    <w:basedOn w:val="Normal"/>
    <w:uiPriority w:val="99"/>
    <w:rsid w:val="00F946A7"/>
    <w:pPr>
      <w:spacing w:before="100" w:beforeAutospacing="1" w:after="100" w:afterAutospacing="1"/>
      <w:textAlignment w:val="top"/>
    </w:pPr>
    <w:rPr>
      <w:b/>
      <w:bCs/>
    </w:rPr>
  </w:style>
  <w:style w:type="paragraph" w:customStyle="1" w:styleId="xl68">
    <w:name w:val="xl68"/>
    <w:basedOn w:val="Normal"/>
    <w:uiPriority w:val="99"/>
    <w:rsid w:val="00F946A7"/>
    <w:pPr>
      <w:spacing w:before="100" w:beforeAutospacing="1" w:after="100" w:afterAutospacing="1"/>
      <w:textAlignment w:val="top"/>
    </w:pPr>
    <w:rPr>
      <w:b/>
      <w:bCs/>
    </w:rPr>
  </w:style>
  <w:style w:type="paragraph" w:customStyle="1" w:styleId="xl69">
    <w:name w:val="xl69"/>
    <w:basedOn w:val="Normal"/>
    <w:uiPriority w:val="99"/>
    <w:rsid w:val="00F946A7"/>
    <w:pPr>
      <w:spacing w:before="100" w:beforeAutospacing="1" w:after="100" w:afterAutospacing="1"/>
      <w:jc w:val="center"/>
      <w:textAlignment w:val="top"/>
    </w:pPr>
    <w:rPr>
      <w:b/>
      <w:bCs/>
    </w:rPr>
  </w:style>
  <w:style w:type="paragraph" w:customStyle="1" w:styleId="xl70">
    <w:name w:val="xl70"/>
    <w:basedOn w:val="Normal"/>
    <w:uiPriority w:val="99"/>
    <w:rsid w:val="00F946A7"/>
    <w:pPr>
      <w:shd w:val="clear" w:color="000000" w:fill="FFFF00"/>
      <w:spacing w:before="100" w:beforeAutospacing="1" w:after="100" w:afterAutospacing="1"/>
      <w:textAlignment w:val="top"/>
    </w:pPr>
  </w:style>
  <w:style w:type="paragraph" w:customStyle="1" w:styleId="xl71">
    <w:name w:val="xl71"/>
    <w:basedOn w:val="Normal"/>
    <w:uiPriority w:val="99"/>
    <w:rsid w:val="00F946A7"/>
    <w:pPr>
      <w:shd w:val="clear" w:color="000000" w:fill="FFFF00"/>
      <w:spacing w:before="100" w:beforeAutospacing="1" w:after="100" w:afterAutospacing="1"/>
      <w:textAlignment w:val="top"/>
    </w:pPr>
  </w:style>
  <w:style w:type="paragraph" w:customStyle="1" w:styleId="xl72">
    <w:name w:val="xl72"/>
    <w:basedOn w:val="Normal"/>
    <w:uiPriority w:val="99"/>
    <w:rsid w:val="00F946A7"/>
    <w:pPr>
      <w:shd w:val="clear" w:color="000000" w:fill="FFFF00"/>
      <w:spacing w:before="100" w:beforeAutospacing="1" w:after="100" w:afterAutospacing="1"/>
    </w:pPr>
  </w:style>
  <w:style w:type="paragraph" w:customStyle="1" w:styleId="xl73">
    <w:name w:val="xl73"/>
    <w:basedOn w:val="Normal"/>
    <w:uiPriority w:val="99"/>
    <w:rsid w:val="00F946A7"/>
    <w:pPr>
      <w:spacing w:before="100" w:beforeAutospacing="1" w:after="100" w:afterAutospacing="1"/>
      <w:jc w:val="center"/>
      <w:textAlignment w:val="top"/>
    </w:pPr>
  </w:style>
  <w:style w:type="table" w:customStyle="1" w:styleId="TableGrid3">
    <w:name w:val="Table Grid3"/>
    <w:uiPriority w:val="99"/>
    <w:rsid w:val="001D72D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D21F2"/>
    <w:rPr>
      <w:rFonts w:cs="Times New Roman"/>
      <w:sz w:val="16"/>
    </w:rPr>
  </w:style>
  <w:style w:type="paragraph" w:styleId="CommentText">
    <w:name w:val="annotation text"/>
    <w:basedOn w:val="Normal"/>
    <w:link w:val="CommentTextChar"/>
    <w:uiPriority w:val="99"/>
    <w:semiHidden/>
    <w:rsid w:val="007D21F2"/>
    <w:rPr>
      <w:sz w:val="20"/>
      <w:szCs w:val="20"/>
    </w:rPr>
  </w:style>
  <w:style w:type="character" w:customStyle="1" w:styleId="CommentTextChar">
    <w:name w:val="Comment Text Char"/>
    <w:basedOn w:val="DefaultParagraphFont"/>
    <w:link w:val="CommentText"/>
    <w:uiPriority w:val="99"/>
    <w:semiHidden/>
    <w:locked/>
    <w:rsid w:val="007D21F2"/>
    <w:rPr>
      <w:rFonts w:ascii="Times New Roman" w:hAnsi="Times New Roman"/>
    </w:rPr>
  </w:style>
  <w:style w:type="paragraph" w:styleId="CommentSubject">
    <w:name w:val="annotation subject"/>
    <w:basedOn w:val="CommentText"/>
    <w:next w:val="CommentText"/>
    <w:link w:val="CommentSubjectChar"/>
    <w:uiPriority w:val="99"/>
    <w:semiHidden/>
    <w:rsid w:val="007D21F2"/>
    <w:rPr>
      <w:b/>
      <w:bCs/>
    </w:rPr>
  </w:style>
  <w:style w:type="character" w:customStyle="1" w:styleId="CommentSubjectChar">
    <w:name w:val="Comment Subject Char"/>
    <w:basedOn w:val="CommentTextChar"/>
    <w:link w:val="CommentSubject"/>
    <w:uiPriority w:val="99"/>
    <w:semiHidden/>
    <w:locked/>
    <w:rsid w:val="007D21F2"/>
    <w:rPr>
      <w:rFonts w:ascii="Times New Roman" w:hAnsi="Times New Roman"/>
      <w:b/>
    </w:rPr>
  </w:style>
  <w:style w:type="character" w:customStyle="1" w:styleId="highlight2">
    <w:name w:val="highlight2"/>
    <w:uiPriority w:val="99"/>
    <w:rsid w:val="005D0253"/>
  </w:style>
  <w:style w:type="character" w:customStyle="1" w:styleId="apple-converted-space">
    <w:name w:val="apple-converted-space"/>
    <w:uiPriority w:val="99"/>
    <w:rsid w:val="00986F73"/>
  </w:style>
  <w:style w:type="table" w:customStyle="1" w:styleId="TableGrid4">
    <w:name w:val="Table Grid4"/>
    <w:uiPriority w:val="99"/>
    <w:rsid w:val="00D8316B"/>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2F3986"/>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7F6011"/>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6C43FA"/>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253B48"/>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title">
    <w:name w:val="ref-title"/>
    <w:basedOn w:val="DefaultParagraphFont"/>
    <w:rsid w:val="00DB4D30"/>
  </w:style>
  <w:style w:type="character" w:styleId="LineNumber">
    <w:name w:val="line number"/>
    <w:basedOn w:val="DefaultParagraphFont"/>
    <w:uiPriority w:val="99"/>
    <w:semiHidden/>
    <w:unhideWhenUsed/>
    <w:locked/>
    <w:rsid w:val="00F61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247260">
      <w:marLeft w:val="0"/>
      <w:marRight w:val="0"/>
      <w:marTop w:val="0"/>
      <w:marBottom w:val="0"/>
      <w:divBdr>
        <w:top w:val="none" w:sz="0" w:space="0" w:color="auto"/>
        <w:left w:val="none" w:sz="0" w:space="0" w:color="auto"/>
        <w:bottom w:val="none" w:sz="0" w:space="0" w:color="auto"/>
        <w:right w:val="none" w:sz="0" w:space="0" w:color="auto"/>
      </w:divBdr>
    </w:div>
    <w:div w:id="1381247262">
      <w:marLeft w:val="0"/>
      <w:marRight w:val="0"/>
      <w:marTop w:val="0"/>
      <w:marBottom w:val="0"/>
      <w:divBdr>
        <w:top w:val="none" w:sz="0" w:space="0" w:color="auto"/>
        <w:left w:val="none" w:sz="0" w:space="0" w:color="auto"/>
        <w:bottom w:val="none" w:sz="0" w:space="0" w:color="auto"/>
        <w:right w:val="none" w:sz="0" w:space="0" w:color="auto"/>
      </w:divBdr>
    </w:div>
    <w:div w:id="1381247263">
      <w:marLeft w:val="0"/>
      <w:marRight w:val="0"/>
      <w:marTop w:val="0"/>
      <w:marBottom w:val="0"/>
      <w:divBdr>
        <w:top w:val="none" w:sz="0" w:space="0" w:color="auto"/>
        <w:left w:val="none" w:sz="0" w:space="0" w:color="auto"/>
        <w:bottom w:val="none" w:sz="0" w:space="0" w:color="auto"/>
        <w:right w:val="none" w:sz="0" w:space="0" w:color="auto"/>
      </w:divBdr>
    </w:div>
    <w:div w:id="1381247265">
      <w:marLeft w:val="0"/>
      <w:marRight w:val="0"/>
      <w:marTop w:val="0"/>
      <w:marBottom w:val="0"/>
      <w:divBdr>
        <w:top w:val="none" w:sz="0" w:space="0" w:color="auto"/>
        <w:left w:val="none" w:sz="0" w:space="0" w:color="auto"/>
        <w:bottom w:val="none" w:sz="0" w:space="0" w:color="auto"/>
        <w:right w:val="none" w:sz="0" w:space="0" w:color="auto"/>
      </w:divBdr>
    </w:div>
    <w:div w:id="1381247267">
      <w:marLeft w:val="0"/>
      <w:marRight w:val="0"/>
      <w:marTop w:val="0"/>
      <w:marBottom w:val="0"/>
      <w:divBdr>
        <w:top w:val="none" w:sz="0" w:space="0" w:color="auto"/>
        <w:left w:val="none" w:sz="0" w:space="0" w:color="auto"/>
        <w:bottom w:val="none" w:sz="0" w:space="0" w:color="auto"/>
        <w:right w:val="none" w:sz="0" w:space="0" w:color="auto"/>
      </w:divBdr>
    </w:div>
    <w:div w:id="1381247268">
      <w:marLeft w:val="0"/>
      <w:marRight w:val="0"/>
      <w:marTop w:val="0"/>
      <w:marBottom w:val="0"/>
      <w:divBdr>
        <w:top w:val="none" w:sz="0" w:space="0" w:color="auto"/>
        <w:left w:val="none" w:sz="0" w:space="0" w:color="auto"/>
        <w:bottom w:val="none" w:sz="0" w:space="0" w:color="auto"/>
        <w:right w:val="none" w:sz="0" w:space="0" w:color="auto"/>
      </w:divBdr>
    </w:div>
    <w:div w:id="1381247276">
      <w:marLeft w:val="0"/>
      <w:marRight w:val="0"/>
      <w:marTop w:val="0"/>
      <w:marBottom w:val="0"/>
      <w:divBdr>
        <w:top w:val="none" w:sz="0" w:space="0" w:color="auto"/>
        <w:left w:val="none" w:sz="0" w:space="0" w:color="auto"/>
        <w:bottom w:val="none" w:sz="0" w:space="0" w:color="auto"/>
        <w:right w:val="none" w:sz="0" w:space="0" w:color="auto"/>
      </w:divBdr>
    </w:div>
    <w:div w:id="1381247277">
      <w:marLeft w:val="0"/>
      <w:marRight w:val="0"/>
      <w:marTop w:val="0"/>
      <w:marBottom w:val="0"/>
      <w:divBdr>
        <w:top w:val="none" w:sz="0" w:space="0" w:color="auto"/>
        <w:left w:val="none" w:sz="0" w:space="0" w:color="auto"/>
        <w:bottom w:val="none" w:sz="0" w:space="0" w:color="auto"/>
        <w:right w:val="none" w:sz="0" w:space="0" w:color="auto"/>
      </w:divBdr>
      <w:divsChild>
        <w:div w:id="1381247299">
          <w:marLeft w:val="0"/>
          <w:marRight w:val="0"/>
          <w:marTop w:val="150"/>
          <w:marBottom w:val="0"/>
          <w:divBdr>
            <w:top w:val="none" w:sz="0" w:space="0" w:color="auto"/>
            <w:left w:val="none" w:sz="0" w:space="0" w:color="auto"/>
            <w:bottom w:val="none" w:sz="0" w:space="0" w:color="auto"/>
            <w:right w:val="none" w:sz="0" w:space="0" w:color="auto"/>
          </w:divBdr>
          <w:divsChild>
            <w:div w:id="1381247266">
              <w:marLeft w:val="0"/>
              <w:marRight w:val="0"/>
              <w:marTop w:val="0"/>
              <w:marBottom w:val="0"/>
              <w:divBdr>
                <w:top w:val="none" w:sz="0" w:space="0" w:color="auto"/>
                <w:left w:val="none" w:sz="0" w:space="0" w:color="auto"/>
                <w:bottom w:val="none" w:sz="0" w:space="0" w:color="auto"/>
                <w:right w:val="none" w:sz="0" w:space="0" w:color="auto"/>
              </w:divBdr>
              <w:divsChild>
                <w:div w:id="1381247258">
                  <w:marLeft w:val="0"/>
                  <w:marRight w:val="0"/>
                  <w:marTop w:val="0"/>
                  <w:marBottom w:val="0"/>
                  <w:divBdr>
                    <w:top w:val="none" w:sz="0" w:space="0" w:color="auto"/>
                    <w:left w:val="none" w:sz="0" w:space="0" w:color="auto"/>
                    <w:bottom w:val="none" w:sz="0" w:space="0" w:color="auto"/>
                    <w:right w:val="none" w:sz="0" w:space="0" w:color="auto"/>
                  </w:divBdr>
                  <w:divsChild>
                    <w:div w:id="13812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47280">
      <w:marLeft w:val="0"/>
      <w:marRight w:val="0"/>
      <w:marTop w:val="0"/>
      <w:marBottom w:val="0"/>
      <w:divBdr>
        <w:top w:val="none" w:sz="0" w:space="0" w:color="auto"/>
        <w:left w:val="none" w:sz="0" w:space="0" w:color="auto"/>
        <w:bottom w:val="none" w:sz="0" w:space="0" w:color="auto"/>
        <w:right w:val="none" w:sz="0" w:space="0" w:color="auto"/>
      </w:divBdr>
    </w:div>
    <w:div w:id="1381247283">
      <w:marLeft w:val="0"/>
      <w:marRight w:val="0"/>
      <w:marTop w:val="0"/>
      <w:marBottom w:val="0"/>
      <w:divBdr>
        <w:top w:val="none" w:sz="0" w:space="0" w:color="auto"/>
        <w:left w:val="none" w:sz="0" w:space="0" w:color="auto"/>
        <w:bottom w:val="none" w:sz="0" w:space="0" w:color="auto"/>
        <w:right w:val="none" w:sz="0" w:space="0" w:color="auto"/>
      </w:divBdr>
    </w:div>
    <w:div w:id="1381247285">
      <w:marLeft w:val="0"/>
      <w:marRight w:val="0"/>
      <w:marTop w:val="0"/>
      <w:marBottom w:val="0"/>
      <w:divBdr>
        <w:top w:val="none" w:sz="0" w:space="0" w:color="auto"/>
        <w:left w:val="none" w:sz="0" w:space="0" w:color="auto"/>
        <w:bottom w:val="none" w:sz="0" w:space="0" w:color="auto"/>
        <w:right w:val="none" w:sz="0" w:space="0" w:color="auto"/>
      </w:divBdr>
      <w:divsChild>
        <w:div w:id="1381247282">
          <w:marLeft w:val="0"/>
          <w:marRight w:val="0"/>
          <w:marTop w:val="150"/>
          <w:marBottom w:val="0"/>
          <w:divBdr>
            <w:top w:val="none" w:sz="0" w:space="0" w:color="auto"/>
            <w:left w:val="none" w:sz="0" w:space="0" w:color="auto"/>
            <w:bottom w:val="none" w:sz="0" w:space="0" w:color="auto"/>
            <w:right w:val="none" w:sz="0" w:space="0" w:color="auto"/>
          </w:divBdr>
          <w:divsChild>
            <w:div w:id="1381247302">
              <w:marLeft w:val="0"/>
              <w:marRight w:val="0"/>
              <w:marTop w:val="0"/>
              <w:marBottom w:val="0"/>
              <w:divBdr>
                <w:top w:val="none" w:sz="0" w:space="0" w:color="auto"/>
                <w:left w:val="none" w:sz="0" w:space="0" w:color="auto"/>
                <w:bottom w:val="none" w:sz="0" w:space="0" w:color="auto"/>
                <w:right w:val="none" w:sz="0" w:space="0" w:color="auto"/>
              </w:divBdr>
              <w:divsChild>
                <w:div w:id="1381247300">
                  <w:marLeft w:val="0"/>
                  <w:marRight w:val="0"/>
                  <w:marTop w:val="0"/>
                  <w:marBottom w:val="0"/>
                  <w:divBdr>
                    <w:top w:val="none" w:sz="0" w:space="0" w:color="auto"/>
                    <w:left w:val="none" w:sz="0" w:space="0" w:color="auto"/>
                    <w:bottom w:val="none" w:sz="0" w:space="0" w:color="auto"/>
                    <w:right w:val="none" w:sz="0" w:space="0" w:color="auto"/>
                  </w:divBdr>
                  <w:divsChild>
                    <w:div w:id="13812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47286">
      <w:marLeft w:val="0"/>
      <w:marRight w:val="0"/>
      <w:marTop w:val="0"/>
      <w:marBottom w:val="0"/>
      <w:divBdr>
        <w:top w:val="none" w:sz="0" w:space="0" w:color="auto"/>
        <w:left w:val="none" w:sz="0" w:space="0" w:color="auto"/>
        <w:bottom w:val="none" w:sz="0" w:space="0" w:color="auto"/>
        <w:right w:val="none" w:sz="0" w:space="0" w:color="auto"/>
      </w:divBdr>
      <w:divsChild>
        <w:div w:id="1381247305">
          <w:marLeft w:val="0"/>
          <w:marRight w:val="0"/>
          <w:marTop w:val="150"/>
          <w:marBottom w:val="0"/>
          <w:divBdr>
            <w:top w:val="none" w:sz="0" w:space="0" w:color="auto"/>
            <w:left w:val="none" w:sz="0" w:space="0" w:color="auto"/>
            <w:bottom w:val="none" w:sz="0" w:space="0" w:color="auto"/>
            <w:right w:val="none" w:sz="0" w:space="0" w:color="auto"/>
          </w:divBdr>
          <w:divsChild>
            <w:div w:id="1381247290">
              <w:marLeft w:val="0"/>
              <w:marRight w:val="0"/>
              <w:marTop w:val="0"/>
              <w:marBottom w:val="0"/>
              <w:divBdr>
                <w:top w:val="none" w:sz="0" w:space="0" w:color="auto"/>
                <w:left w:val="none" w:sz="0" w:space="0" w:color="auto"/>
                <w:bottom w:val="none" w:sz="0" w:space="0" w:color="auto"/>
                <w:right w:val="none" w:sz="0" w:space="0" w:color="auto"/>
              </w:divBdr>
              <w:divsChild>
                <w:div w:id="1381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7287">
      <w:marLeft w:val="0"/>
      <w:marRight w:val="0"/>
      <w:marTop w:val="0"/>
      <w:marBottom w:val="0"/>
      <w:divBdr>
        <w:top w:val="none" w:sz="0" w:space="0" w:color="auto"/>
        <w:left w:val="none" w:sz="0" w:space="0" w:color="auto"/>
        <w:bottom w:val="none" w:sz="0" w:space="0" w:color="auto"/>
        <w:right w:val="none" w:sz="0" w:space="0" w:color="auto"/>
      </w:divBdr>
      <w:divsChild>
        <w:div w:id="1381247281">
          <w:marLeft w:val="0"/>
          <w:marRight w:val="0"/>
          <w:marTop w:val="150"/>
          <w:marBottom w:val="0"/>
          <w:divBdr>
            <w:top w:val="none" w:sz="0" w:space="0" w:color="auto"/>
            <w:left w:val="none" w:sz="0" w:space="0" w:color="auto"/>
            <w:bottom w:val="none" w:sz="0" w:space="0" w:color="auto"/>
            <w:right w:val="none" w:sz="0" w:space="0" w:color="auto"/>
          </w:divBdr>
          <w:divsChild>
            <w:div w:id="1381247292">
              <w:marLeft w:val="0"/>
              <w:marRight w:val="0"/>
              <w:marTop w:val="0"/>
              <w:marBottom w:val="0"/>
              <w:divBdr>
                <w:top w:val="none" w:sz="0" w:space="0" w:color="auto"/>
                <w:left w:val="none" w:sz="0" w:space="0" w:color="auto"/>
                <w:bottom w:val="none" w:sz="0" w:space="0" w:color="auto"/>
                <w:right w:val="none" w:sz="0" w:space="0" w:color="auto"/>
              </w:divBdr>
              <w:divsChild>
                <w:div w:id="1381247293">
                  <w:marLeft w:val="0"/>
                  <w:marRight w:val="0"/>
                  <w:marTop w:val="0"/>
                  <w:marBottom w:val="0"/>
                  <w:divBdr>
                    <w:top w:val="none" w:sz="0" w:space="0" w:color="auto"/>
                    <w:left w:val="none" w:sz="0" w:space="0" w:color="auto"/>
                    <w:bottom w:val="none" w:sz="0" w:space="0" w:color="auto"/>
                    <w:right w:val="none" w:sz="0" w:space="0" w:color="auto"/>
                  </w:divBdr>
                  <w:divsChild>
                    <w:div w:id="13812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47288">
      <w:marLeft w:val="0"/>
      <w:marRight w:val="0"/>
      <w:marTop w:val="0"/>
      <w:marBottom w:val="0"/>
      <w:divBdr>
        <w:top w:val="none" w:sz="0" w:space="0" w:color="auto"/>
        <w:left w:val="none" w:sz="0" w:space="0" w:color="auto"/>
        <w:bottom w:val="none" w:sz="0" w:space="0" w:color="auto"/>
        <w:right w:val="none" w:sz="0" w:space="0" w:color="auto"/>
      </w:divBdr>
    </w:div>
    <w:div w:id="1381247289">
      <w:marLeft w:val="0"/>
      <w:marRight w:val="0"/>
      <w:marTop w:val="0"/>
      <w:marBottom w:val="0"/>
      <w:divBdr>
        <w:top w:val="none" w:sz="0" w:space="0" w:color="auto"/>
        <w:left w:val="none" w:sz="0" w:space="0" w:color="auto"/>
        <w:bottom w:val="none" w:sz="0" w:space="0" w:color="auto"/>
        <w:right w:val="none" w:sz="0" w:space="0" w:color="auto"/>
      </w:divBdr>
      <w:divsChild>
        <w:div w:id="1381247307">
          <w:marLeft w:val="0"/>
          <w:marRight w:val="0"/>
          <w:marTop w:val="150"/>
          <w:marBottom w:val="0"/>
          <w:divBdr>
            <w:top w:val="none" w:sz="0" w:space="0" w:color="auto"/>
            <w:left w:val="none" w:sz="0" w:space="0" w:color="auto"/>
            <w:bottom w:val="none" w:sz="0" w:space="0" w:color="auto"/>
            <w:right w:val="none" w:sz="0" w:space="0" w:color="auto"/>
          </w:divBdr>
          <w:divsChild>
            <w:div w:id="1381247310">
              <w:marLeft w:val="0"/>
              <w:marRight w:val="0"/>
              <w:marTop w:val="0"/>
              <w:marBottom w:val="0"/>
              <w:divBdr>
                <w:top w:val="none" w:sz="0" w:space="0" w:color="auto"/>
                <w:left w:val="none" w:sz="0" w:space="0" w:color="auto"/>
                <w:bottom w:val="none" w:sz="0" w:space="0" w:color="auto"/>
                <w:right w:val="none" w:sz="0" w:space="0" w:color="auto"/>
              </w:divBdr>
              <w:divsChild>
                <w:div w:id="1381247273">
                  <w:marLeft w:val="0"/>
                  <w:marRight w:val="0"/>
                  <w:marTop w:val="0"/>
                  <w:marBottom w:val="0"/>
                  <w:divBdr>
                    <w:top w:val="none" w:sz="0" w:space="0" w:color="auto"/>
                    <w:left w:val="none" w:sz="0" w:space="0" w:color="auto"/>
                    <w:bottom w:val="none" w:sz="0" w:space="0" w:color="auto"/>
                    <w:right w:val="none" w:sz="0" w:space="0" w:color="auto"/>
                  </w:divBdr>
                  <w:divsChild>
                    <w:div w:id="13812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47291">
      <w:marLeft w:val="0"/>
      <w:marRight w:val="0"/>
      <w:marTop w:val="0"/>
      <w:marBottom w:val="0"/>
      <w:divBdr>
        <w:top w:val="none" w:sz="0" w:space="0" w:color="auto"/>
        <w:left w:val="none" w:sz="0" w:space="0" w:color="auto"/>
        <w:bottom w:val="none" w:sz="0" w:space="0" w:color="auto"/>
        <w:right w:val="none" w:sz="0" w:space="0" w:color="auto"/>
      </w:divBdr>
      <w:divsChild>
        <w:div w:id="1381247297">
          <w:marLeft w:val="0"/>
          <w:marRight w:val="0"/>
          <w:marTop w:val="0"/>
          <w:marBottom w:val="0"/>
          <w:divBdr>
            <w:top w:val="none" w:sz="0" w:space="0" w:color="auto"/>
            <w:left w:val="none" w:sz="0" w:space="0" w:color="auto"/>
            <w:bottom w:val="none" w:sz="0" w:space="0" w:color="auto"/>
            <w:right w:val="none" w:sz="0" w:space="0" w:color="auto"/>
          </w:divBdr>
          <w:divsChild>
            <w:div w:id="1381247278">
              <w:marLeft w:val="0"/>
              <w:marRight w:val="0"/>
              <w:marTop w:val="0"/>
              <w:marBottom w:val="0"/>
              <w:divBdr>
                <w:top w:val="none" w:sz="0" w:space="0" w:color="auto"/>
                <w:left w:val="none" w:sz="0" w:space="0" w:color="auto"/>
                <w:bottom w:val="none" w:sz="0" w:space="0" w:color="auto"/>
                <w:right w:val="none" w:sz="0" w:space="0" w:color="auto"/>
              </w:divBdr>
              <w:divsChild>
                <w:div w:id="1381247295">
                  <w:marLeft w:val="0"/>
                  <w:marRight w:val="-6084"/>
                  <w:marTop w:val="0"/>
                  <w:marBottom w:val="0"/>
                  <w:divBdr>
                    <w:top w:val="none" w:sz="0" w:space="0" w:color="auto"/>
                    <w:left w:val="none" w:sz="0" w:space="0" w:color="auto"/>
                    <w:bottom w:val="none" w:sz="0" w:space="0" w:color="auto"/>
                    <w:right w:val="none" w:sz="0" w:space="0" w:color="auto"/>
                  </w:divBdr>
                  <w:divsChild>
                    <w:div w:id="1381247261">
                      <w:marLeft w:val="0"/>
                      <w:marRight w:val="5604"/>
                      <w:marTop w:val="0"/>
                      <w:marBottom w:val="0"/>
                      <w:divBdr>
                        <w:top w:val="none" w:sz="0" w:space="0" w:color="auto"/>
                        <w:left w:val="none" w:sz="0" w:space="0" w:color="auto"/>
                        <w:bottom w:val="none" w:sz="0" w:space="0" w:color="auto"/>
                        <w:right w:val="none" w:sz="0" w:space="0" w:color="auto"/>
                      </w:divBdr>
                      <w:divsChild>
                        <w:div w:id="1381247279">
                          <w:marLeft w:val="0"/>
                          <w:marRight w:val="0"/>
                          <w:marTop w:val="0"/>
                          <w:marBottom w:val="0"/>
                          <w:divBdr>
                            <w:top w:val="none" w:sz="0" w:space="0" w:color="auto"/>
                            <w:left w:val="none" w:sz="0" w:space="0" w:color="auto"/>
                            <w:bottom w:val="none" w:sz="0" w:space="0" w:color="auto"/>
                            <w:right w:val="none" w:sz="0" w:space="0" w:color="auto"/>
                          </w:divBdr>
                          <w:divsChild>
                            <w:div w:id="138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247294">
      <w:marLeft w:val="0"/>
      <w:marRight w:val="0"/>
      <w:marTop w:val="0"/>
      <w:marBottom w:val="0"/>
      <w:divBdr>
        <w:top w:val="none" w:sz="0" w:space="0" w:color="auto"/>
        <w:left w:val="none" w:sz="0" w:space="0" w:color="auto"/>
        <w:bottom w:val="none" w:sz="0" w:space="0" w:color="auto"/>
        <w:right w:val="none" w:sz="0" w:space="0" w:color="auto"/>
      </w:divBdr>
    </w:div>
    <w:div w:id="1381247298">
      <w:marLeft w:val="0"/>
      <w:marRight w:val="0"/>
      <w:marTop w:val="0"/>
      <w:marBottom w:val="0"/>
      <w:divBdr>
        <w:top w:val="none" w:sz="0" w:space="0" w:color="auto"/>
        <w:left w:val="none" w:sz="0" w:space="0" w:color="auto"/>
        <w:bottom w:val="none" w:sz="0" w:space="0" w:color="auto"/>
        <w:right w:val="none" w:sz="0" w:space="0" w:color="auto"/>
      </w:divBdr>
    </w:div>
    <w:div w:id="1381247303">
      <w:marLeft w:val="0"/>
      <w:marRight w:val="0"/>
      <w:marTop w:val="0"/>
      <w:marBottom w:val="0"/>
      <w:divBdr>
        <w:top w:val="none" w:sz="0" w:space="0" w:color="auto"/>
        <w:left w:val="none" w:sz="0" w:space="0" w:color="auto"/>
        <w:bottom w:val="none" w:sz="0" w:space="0" w:color="auto"/>
        <w:right w:val="none" w:sz="0" w:space="0" w:color="auto"/>
      </w:divBdr>
    </w:div>
    <w:div w:id="1381247304">
      <w:marLeft w:val="0"/>
      <w:marRight w:val="0"/>
      <w:marTop w:val="0"/>
      <w:marBottom w:val="0"/>
      <w:divBdr>
        <w:top w:val="none" w:sz="0" w:space="0" w:color="auto"/>
        <w:left w:val="none" w:sz="0" w:space="0" w:color="auto"/>
        <w:bottom w:val="none" w:sz="0" w:space="0" w:color="auto"/>
        <w:right w:val="none" w:sz="0" w:space="0" w:color="auto"/>
      </w:divBdr>
      <w:divsChild>
        <w:div w:id="1381247269">
          <w:marLeft w:val="0"/>
          <w:marRight w:val="1"/>
          <w:marTop w:val="0"/>
          <w:marBottom w:val="0"/>
          <w:divBdr>
            <w:top w:val="none" w:sz="0" w:space="0" w:color="auto"/>
            <w:left w:val="none" w:sz="0" w:space="0" w:color="auto"/>
            <w:bottom w:val="none" w:sz="0" w:space="0" w:color="auto"/>
            <w:right w:val="none" w:sz="0" w:space="0" w:color="auto"/>
          </w:divBdr>
          <w:divsChild>
            <w:div w:id="1381247308">
              <w:marLeft w:val="0"/>
              <w:marRight w:val="0"/>
              <w:marTop w:val="0"/>
              <w:marBottom w:val="0"/>
              <w:divBdr>
                <w:top w:val="none" w:sz="0" w:space="0" w:color="auto"/>
                <w:left w:val="none" w:sz="0" w:space="0" w:color="auto"/>
                <w:bottom w:val="none" w:sz="0" w:space="0" w:color="auto"/>
                <w:right w:val="none" w:sz="0" w:space="0" w:color="auto"/>
              </w:divBdr>
              <w:divsChild>
                <w:div w:id="1381247275">
                  <w:marLeft w:val="0"/>
                  <w:marRight w:val="1"/>
                  <w:marTop w:val="0"/>
                  <w:marBottom w:val="0"/>
                  <w:divBdr>
                    <w:top w:val="none" w:sz="0" w:space="0" w:color="auto"/>
                    <w:left w:val="none" w:sz="0" w:space="0" w:color="auto"/>
                    <w:bottom w:val="none" w:sz="0" w:space="0" w:color="auto"/>
                    <w:right w:val="none" w:sz="0" w:space="0" w:color="auto"/>
                  </w:divBdr>
                  <w:divsChild>
                    <w:div w:id="1381247309">
                      <w:marLeft w:val="0"/>
                      <w:marRight w:val="0"/>
                      <w:marTop w:val="0"/>
                      <w:marBottom w:val="0"/>
                      <w:divBdr>
                        <w:top w:val="none" w:sz="0" w:space="0" w:color="auto"/>
                        <w:left w:val="none" w:sz="0" w:space="0" w:color="auto"/>
                        <w:bottom w:val="none" w:sz="0" w:space="0" w:color="auto"/>
                        <w:right w:val="none" w:sz="0" w:space="0" w:color="auto"/>
                      </w:divBdr>
                      <w:divsChild>
                        <w:div w:id="1381247264">
                          <w:marLeft w:val="0"/>
                          <w:marRight w:val="0"/>
                          <w:marTop w:val="0"/>
                          <w:marBottom w:val="0"/>
                          <w:divBdr>
                            <w:top w:val="none" w:sz="0" w:space="0" w:color="auto"/>
                            <w:left w:val="none" w:sz="0" w:space="0" w:color="auto"/>
                            <w:bottom w:val="none" w:sz="0" w:space="0" w:color="auto"/>
                            <w:right w:val="none" w:sz="0" w:space="0" w:color="auto"/>
                          </w:divBdr>
                          <w:divsChild>
                            <w:div w:id="1381247259">
                              <w:marLeft w:val="0"/>
                              <w:marRight w:val="0"/>
                              <w:marTop w:val="120"/>
                              <w:marBottom w:val="360"/>
                              <w:divBdr>
                                <w:top w:val="none" w:sz="0" w:space="0" w:color="auto"/>
                                <w:left w:val="none" w:sz="0" w:space="0" w:color="auto"/>
                                <w:bottom w:val="none" w:sz="0" w:space="0" w:color="auto"/>
                                <w:right w:val="none" w:sz="0" w:space="0" w:color="auto"/>
                              </w:divBdr>
                              <w:divsChild>
                                <w:div w:id="1381247272">
                                  <w:marLeft w:val="0"/>
                                  <w:marRight w:val="0"/>
                                  <w:marTop w:val="0"/>
                                  <w:marBottom w:val="0"/>
                                  <w:divBdr>
                                    <w:top w:val="none" w:sz="0" w:space="0" w:color="auto"/>
                                    <w:left w:val="none" w:sz="0" w:space="0" w:color="auto"/>
                                    <w:bottom w:val="none" w:sz="0" w:space="0" w:color="auto"/>
                                    <w:right w:val="none" w:sz="0" w:space="0" w:color="auto"/>
                                  </w:divBdr>
                                </w:div>
                                <w:div w:id="13812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247311">
      <w:marLeft w:val="0"/>
      <w:marRight w:val="0"/>
      <w:marTop w:val="0"/>
      <w:marBottom w:val="0"/>
      <w:divBdr>
        <w:top w:val="none" w:sz="0" w:space="0" w:color="auto"/>
        <w:left w:val="none" w:sz="0" w:space="0" w:color="auto"/>
        <w:bottom w:val="none" w:sz="0" w:space="0" w:color="auto"/>
        <w:right w:val="none" w:sz="0" w:space="0" w:color="auto"/>
      </w:divBdr>
    </w:div>
    <w:div w:id="1381247314">
      <w:marLeft w:val="0"/>
      <w:marRight w:val="0"/>
      <w:marTop w:val="0"/>
      <w:marBottom w:val="0"/>
      <w:divBdr>
        <w:top w:val="none" w:sz="0" w:space="0" w:color="auto"/>
        <w:left w:val="none" w:sz="0" w:space="0" w:color="auto"/>
        <w:bottom w:val="none" w:sz="0" w:space="0" w:color="auto"/>
        <w:right w:val="none" w:sz="0" w:space="0" w:color="auto"/>
      </w:divBdr>
      <w:divsChild>
        <w:div w:id="1381247316">
          <w:marLeft w:val="0"/>
          <w:marRight w:val="0"/>
          <w:marTop w:val="0"/>
          <w:marBottom w:val="0"/>
          <w:divBdr>
            <w:top w:val="none" w:sz="0" w:space="0" w:color="auto"/>
            <w:left w:val="none" w:sz="0" w:space="0" w:color="auto"/>
            <w:bottom w:val="none" w:sz="0" w:space="0" w:color="auto"/>
            <w:right w:val="none" w:sz="0" w:space="0" w:color="auto"/>
          </w:divBdr>
          <w:divsChild>
            <w:div w:id="1381247312">
              <w:marLeft w:val="0"/>
              <w:marRight w:val="0"/>
              <w:marTop w:val="0"/>
              <w:marBottom w:val="0"/>
              <w:divBdr>
                <w:top w:val="none" w:sz="0" w:space="0" w:color="auto"/>
                <w:left w:val="none" w:sz="0" w:space="0" w:color="auto"/>
                <w:bottom w:val="none" w:sz="0" w:space="0" w:color="auto"/>
                <w:right w:val="none" w:sz="0" w:space="0" w:color="auto"/>
              </w:divBdr>
              <w:divsChild>
                <w:div w:id="1381247317">
                  <w:marLeft w:val="0"/>
                  <w:marRight w:val="0"/>
                  <w:marTop w:val="0"/>
                  <w:marBottom w:val="0"/>
                  <w:divBdr>
                    <w:top w:val="none" w:sz="0" w:space="0" w:color="auto"/>
                    <w:left w:val="none" w:sz="0" w:space="0" w:color="auto"/>
                    <w:bottom w:val="none" w:sz="0" w:space="0" w:color="auto"/>
                    <w:right w:val="none" w:sz="0" w:space="0" w:color="auto"/>
                  </w:divBdr>
                  <w:divsChild>
                    <w:div w:id="1381247257">
                      <w:marLeft w:val="0"/>
                      <w:marRight w:val="0"/>
                      <w:marTop w:val="0"/>
                      <w:marBottom w:val="0"/>
                      <w:divBdr>
                        <w:top w:val="none" w:sz="0" w:space="0" w:color="auto"/>
                        <w:left w:val="none" w:sz="0" w:space="0" w:color="auto"/>
                        <w:bottom w:val="none" w:sz="0" w:space="0" w:color="auto"/>
                        <w:right w:val="none" w:sz="0" w:space="0" w:color="auto"/>
                      </w:divBdr>
                      <w:divsChild>
                        <w:div w:id="1381247315">
                          <w:marLeft w:val="0"/>
                          <w:marRight w:val="0"/>
                          <w:marTop w:val="0"/>
                          <w:marBottom w:val="0"/>
                          <w:divBdr>
                            <w:top w:val="none" w:sz="0" w:space="0" w:color="auto"/>
                            <w:left w:val="none" w:sz="0" w:space="0" w:color="auto"/>
                            <w:bottom w:val="none" w:sz="0" w:space="0" w:color="auto"/>
                            <w:right w:val="none" w:sz="0" w:space="0" w:color="auto"/>
                          </w:divBdr>
                          <w:divsChild>
                            <w:div w:id="13812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big@biol.ug.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sortowanie według nazw" Version="2003"/>
</file>

<file path=customXml/itemProps1.xml><?xml version="1.0" encoding="utf-8"?>
<ds:datastoreItem xmlns:ds="http://schemas.openxmlformats.org/officeDocument/2006/customXml" ds:itemID="{6F3B8BF0-AE77-4071-849E-1C80F95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24880</Words>
  <Characters>149286</Characters>
  <Application>Microsoft Office Word</Application>
  <DocSecurity>0</DocSecurity>
  <Lines>1244</Lines>
  <Paragraphs>347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173819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MagdalenaGC</dc:creator>
  <cp:lastModifiedBy>MagdalenaGC</cp:lastModifiedBy>
  <cp:revision>3</cp:revision>
  <cp:lastPrinted>2016-05-24T11:00:00Z</cp:lastPrinted>
  <dcterms:created xsi:type="dcterms:W3CDTF">2017-10-19T21:16:00Z</dcterms:created>
  <dcterms:modified xsi:type="dcterms:W3CDTF">2017-10-19T21:16:00Z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044f372c-81ad-3a99-86b6-6f0535af1798</vt:lpwstr>
  </property>
  <property fmtid="{D5CDD505-2E9C-101B-9397-08002B2CF9AE}" pid="4" name="Mendeley Citation Style_1">
    <vt:lpwstr>http://www.zotero.org/styles/european-journal-of-pharmacology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http://www.zotero.org/styles/european-journal-of-pharmacology</vt:lpwstr>
  </property>
  <property fmtid="{D5CDD505-2E9C-101B-9397-08002B2CF9AE}" pid="14" name="Mendeley Recent Style Name 4_1">
    <vt:lpwstr>European Journal of Pharmacology</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http://www.zotero.org/styles/the-febs-journal</vt:lpwstr>
  </property>
  <property fmtid="{D5CDD505-2E9C-101B-9397-08002B2CF9AE}" pid="24" name="Mendeley Recent Style Name 9_1">
    <vt:lpwstr>The FEBS Journal</vt:lpwstr>
  </property>
</Properties>
</file>