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090" w:rsidRPr="009150AE" w:rsidRDefault="00AB7090" w:rsidP="00117300">
      <w:pPr>
        <w:autoSpaceDE w:val="0"/>
        <w:autoSpaceDN w:val="0"/>
        <w:adjustRightInd w:val="0"/>
        <w:spacing w:line="360" w:lineRule="auto"/>
        <w:jc w:val="center"/>
        <w:rPr>
          <w:b/>
          <w:lang w:val="en-US"/>
        </w:rPr>
      </w:pPr>
      <w:r w:rsidRPr="0024522F">
        <w:rPr>
          <w:b/>
          <w:bCs/>
          <w:lang w:val="en-US"/>
        </w:rPr>
        <w:t xml:space="preserve">Novel </w:t>
      </w:r>
      <w:r w:rsidRPr="0024522F">
        <w:rPr>
          <w:b/>
          <w:bCs/>
          <w:i/>
          <w:lang w:val="en-US"/>
        </w:rPr>
        <w:t>(S</w:t>
      </w:r>
      <w:r w:rsidRPr="0024522F">
        <w:rPr>
          <w:b/>
          <w:bCs/>
          <w:lang w:val="en-US"/>
        </w:rPr>
        <w:t>)-1,3,4,12a-tetrahydropyrazino[2,1-</w:t>
      </w:r>
      <w:r w:rsidRPr="0024522F">
        <w:rPr>
          <w:b/>
          <w:bCs/>
          <w:i/>
          <w:lang w:val="en-US"/>
        </w:rPr>
        <w:t>c</w:t>
      </w:r>
      <w:r w:rsidRPr="0024522F">
        <w:rPr>
          <w:b/>
          <w:bCs/>
          <w:lang w:val="en-US"/>
        </w:rPr>
        <w:t>]</w:t>
      </w:r>
      <w:r w:rsidRPr="0024522F">
        <w:rPr>
          <w:b/>
          <w:lang w:val="en-US"/>
        </w:rPr>
        <w:t>[1,4]benzodiazepine-6,12(2</w:t>
      </w:r>
      <w:r w:rsidRPr="0024522F">
        <w:rPr>
          <w:b/>
          <w:i/>
          <w:lang w:val="en-US"/>
        </w:rPr>
        <w:t>H</w:t>
      </w:r>
      <w:r w:rsidRPr="0024522F">
        <w:rPr>
          <w:b/>
          <w:lang w:val="en-US"/>
        </w:rPr>
        <w:t>,11</w:t>
      </w:r>
      <w:r w:rsidRPr="0024522F">
        <w:rPr>
          <w:b/>
          <w:i/>
          <w:lang w:val="en-US"/>
        </w:rPr>
        <w:t>H</w:t>
      </w:r>
      <w:r w:rsidRPr="0024522F">
        <w:rPr>
          <w:b/>
          <w:lang w:val="en-US"/>
        </w:rPr>
        <w:t>)-dione</w:t>
      </w:r>
      <w:r w:rsidRPr="0024522F">
        <w:rPr>
          <w:b/>
          <w:bCs/>
          <w:lang w:val="en-US"/>
        </w:rPr>
        <w:t xml:space="preserve"> derivatives: Selective inhibition</w:t>
      </w:r>
      <w:bookmarkStart w:id="0" w:name="_GoBack"/>
      <w:bookmarkEnd w:id="0"/>
      <w:r w:rsidRPr="0024522F">
        <w:rPr>
          <w:b/>
          <w:bCs/>
          <w:lang w:val="en-US"/>
        </w:rPr>
        <w:t xml:space="preserve"> of MV-4-11 </w:t>
      </w:r>
      <w:r w:rsidRPr="0024522F">
        <w:rPr>
          <w:b/>
          <w:lang w:val="en-US"/>
        </w:rPr>
        <w:t>biphenotypic B myelomonocytic leukemia cells’ growth</w:t>
      </w:r>
      <w:r w:rsidRPr="0024522F">
        <w:rPr>
          <w:b/>
          <w:bCs/>
          <w:lang w:val="en-US"/>
        </w:rPr>
        <w:t xml:space="preserve"> is accompanied by reactive oxygen species overproduction and apoptosis.</w:t>
      </w:r>
      <w:r>
        <w:rPr>
          <w:b/>
          <w:bCs/>
          <w:lang w:val="en-US"/>
        </w:rPr>
        <w:t xml:space="preserve"> </w:t>
      </w:r>
      <w:r w:rsidRPr="009150AE">
        <w:rPr>
          <w:b/>
          <w:bCs/>
          <w:lang w:val="en-US"/>
        </w:rPr>
        <w:t xml:space="preserve"> </w:t>
      </w:r>
    </w:p>
    <w:p w:rsidR="00AB7090" w:rsidRPr="009150AE" w:rsidRDefault="00AB7090" w:rsidP="00117300">
      <w:pPr>
        <w:spacing w:line="360" w:lineRule="auto"/>
        <w:rPr>
          <w:lang w:val="en-US"/>
        </w:rPr>
      </w:pPr>
    </w:p>
    <w:p w:rsidR="00AB7090" w:rsidRPr="00E96244" w:rsidRDefault="00AB7090" w:rsidP="00F125BB">
      <w:pPr>
        <w:spacing w:line="360" w:lineRule="auto"/>
        <w:jc w:val="center"/>
        <w:rPr>
          <w:vertAlign w:val="superscript"/>
        </w:rPr>
      </w:pPr>
      <w:r w:rsidRPr="00E96244">
        <w:t>Adam Mieczkowski</w:t>
      </w:r>
      <w:r w:rsidRPr="00E96244">
        <w:rPr>
          <w:vertAlign w:val="superscript"/>
        </w:rPr>
        <w:t>&amp;</w:t>
      </w:r>
      <w:r w:rsidRPr="00E96244">
        <w:t>,</w:t>
      </w:r>
      <w:r w:rsidRPr="00E96244">
        <w:rPr>
          <w:vertAlign w:val="superscript"/>
        </w:rPr>
        <w:t xml:space="preserve">1 </w:t>
      </w:r>
      <w:r w:rsidRPr="00E96244">
        <w:t>Mateusz Psurski</w:t>
      </w:r>
      <w:r w:rsidRPr="00E96244">
        <w:rPr>
          <w:vertAlign w:val="superscript"/>
        </w:rPr>
        <w:t>&amp;</w:t>
      </w:r>
      <w:r w:rsidRPr="00E96244">
        <w:t>,</w:t>
      </w:r>
      <w:r w:rsidRPr="00E96244">
        <w:rPr>
          <w:vertAlign w:val="superscript"/>
        </w:rPr>
        <w:t>3</w:t>
      </w:r>
      <w:r w:rsidRPr="00E96244">
        <w:t xml:space="preserve"> Maciej Bagiński,</w:t>
      </w:r>
      <w:r w:rsidRPr="00E96244">
        <w:rPr>
          <w:vertAlign w:val="superscript"/>
        </w:rPr>
        <w:t xml:space="preserve">1,2 </w:t>
      </w:r>
      <w:r w:rsidRPr="00E96244">
        <w:t>Bartosz Bieszczad,</w:t>
      </w:r>
      <w:r w:rsidRPr="00E96244">
        <w:rPr>
          <w:vertAlign w:val="superscript"/>
        </w:rPr>
        <w:t xml:space="preserve">1,2 </w:t>
      </w:r>
      <w:r w:rsidRPr="00E96244">
        <w:t>Magdalena Mroczkowska,</w:t>
      </w:r>
      <w:r w:rsidRPr="00E96244">
        <w:rPr>
          <w:vertAlign w:val="superscript"/>
        </w:rPr>
        <w:t>1,2</w:t>
      </w:r>
      <w:r w:rsidRPr="00E96244">
        <w:t xml:space="preserve"> Marcin Wilczek,</w:t>
      </w:r>
      <w:r w:rsidRPr="00E96244">
        <w:rPr>
          <w:vertAlign w:val="superscript"/>
        </w:rPr>
        <w:t>2</w:t>
      </w:r>
      <w:r w:rsidRPr="00E96244">
        <w:t>, Joanna Czajkowska,</w:t>
      </w:r>
      <w:r w:rsidRPr="00E96244">
        <w:rPr>
          <w:vertAlign w:val="superscript"/>
        </w:rPr>
        <w:t>3,4</w:t>
      </w:r>
      <w:r w:rsidRPr="00E96244">
        <w:t xml:space="preserve"> </w:t>
      </w:r>
      <w:r>
        <w:t>Damian Trzybiński,</w:t>
      </w:r>
      <w:r>
        <w:rPr>
          <w:vertAlign w:val="superscript"/>
        </w:rPr>
        <w:t>5</w:t>
      </w:r>
      <w:r w:rsidRPr="00E96244">
        <w:t xml:space="preserve"> </w:t>
      </w:r>
      <w:r>
        <w:t>Krzysztof Woźniak,</w:t>
      </w:r>
      <w:r>
        <w:rPr>
          <w:vertAlign w:val="superscript"/>
        </w:rPr>
        <w:t>5</w:t>
      </w:r>
      <w:r w:rsidRPr="00884EF9">
        <w:t xml:space="preserve"> </w:t>
      </w:r>
      <w:r w:rsidRPr="00E96244">
        <w:t>Joanna Wietrzyk</w:t>
      </w:r>
      <w:r w:rsidRPr="00E96244">
        <w:rPr>
          <w:vertAlign w:val="superscript"/>
        </w:rPr>
        <w:t>3</w:t>
      </w:r>
    </w:p>
    <w:p w:rsidR="00AB7090" w:rsidRPr="00E96244" w:rsidRDefault="00AB7090" w:rsidP="00F125BB">
      <w:pPr>
        <w:spacing w:line="360" w:lineRule="auto"/>
        <w:jc w:val="center"/>
        <w:rPr>
          <w:iCs/>
          <w:sz w:val="20"/>
          <w:szCs w:val="20"/>
          <w:vertAlign w:val="superscript"/>
        </w:rPr>
      </w:pPr>
    </w:p>
    <w:p w:rsidR="00AB7090" w:rsidRPr="00F125BB" w:rsidRDefault="00AB7090" w:rsidP="00F125BB">
      <w:pPr>
        <w:spacing w:line="360" w:lineRule="auto"/>
        <w:rPr>
          <w:i/>
          <w:iCs/>
          <w:sz w:val="20"/>
          <w:szCs w:val="20"/>
          <w:lang w:val="en-US"/>
        </w:rPr>
      </w:pPr>
      <w:r w:rsidRPr="00F125BB">
        <w:rPr>
          <w:i/>
          <w:iCs/>
          <w:sz w:val="20"/>
          <w:szCs w:val="20"/>
          <w:vertAlign w:val="superscript"/>
          <w:lang w:val="en-US"/>
        </w:rPr>
        <w:t>1</w:t>
      </w:r>
      <w:r w:rsidRPr="00F125BB">
        <w:rPr>
          <w:i/>
          <w:iCs/>
          <w:sz w:val="20"/>
          <w:szCs w:val="20"/>
          <w:lang w:val="en-US"/>
        </w:rPr>
        <w:t>Institute of Biochemistry and Biophysi</w:t>
      </w:r>
      <w:r>
        <w:rPr>
          <w:i/>
          <w:iCs/>
          <w:sz w:val="20"/>
          <w:szCs w:val="20"/>
          <w:lang w:val="en-US"/>
        </w:rPr>
        <w:t>cs Polish Academy of Sciences</w:t>
      </w:r>
      <w:r w:rsidRPr="00F125BB">
        <w:rPr>
          <w:i/>
          <w:iCs/>
          <w:sz w:val="20"/>
          <w:szCs w:val="20"/>
          <w:lang w:val="en-US"/>
        </w:rPr>
        <w:t xml:space="preserve">, Pawinskiego </w:t>
      </w:r>
      <w:r>
        <w:rPr>
          <w:i/>
          <w:iCs/>
          <w:sz w:val="20"/>
          <w:szCs w:val="20"/>
          <w:lang w:val="en-US"/>
        </w:rPr>
        <w:t>5a</w:t>
      </w:r>
      <w:r w:rsidRPr="00F125BB">
        <w:rPr>
          <w:i/>
          <w:iCs/>
          <w:sz w:val="20"/>
          <w:szCs w:val="20"/>
          <w:lang w:val="en-US"/>
        </w:rPr>
        <w:t>, 02-106 Warsaw, Poland</w:t>
      </w:r>
    </w:p>
    <w:p w:rsidR="00AB7090" w:rsidRPr="00F125BB" w:rsidRDefault="00AB7090" w:rsidP="00F125BB">
      <w:pPr>
        <w:spacing w:line="360" w:lineRule="auto"/>
        <w:jc w:val="both"/>
        <w:rPr>
          <w:i/>
          <w:iCs/>
          <w:sz w:val="20"/>
          <w:szCs w:val="20"/>
          <w:lang w:val="en-US"/>
        </w:rPr>
      </w:pPr>
      <w:r w:rsidRPr="00F125BB">
        <w:rPr>
          <w:i/>
          <w:iCs/>
          <w:sz w:val="20"/>
          <w:szCs w:val="20"/>
          <w:vertAlign w:val="superscript"/>
          <w:lang w:val="en-US"/>
        </w:rPr>
        <w:t>2</w:t>
      </w:r>
      <w:r w:rsidRPr="00F125BB">
        <w:rPr>
          <w:i/>
          <w:iCs/>
          <w:sz w:val="20"/>
          <w:szCs w:val="20"/>
          <w:lang w:val="en-US"/>
        </w:rPr>
        <w:t xml:space="preserve"> </w:t>
      </w:r>
      <w:r>
        <w:rPr>
          <w:i/>
          <w:iCs/>
          <w:sz w:val="20"/>
          <w:szCs w:val="20"/>
          <w:lang w:val="en-US"/>
        </w:rPr>
        <w:t xml:space="preserve">Faculty </w:t>
      </w:r>
      <w:r w:rsidRPr="00F125BB">
        <w:rPr>
          <w:i/>
          <w:iCs/>
          <w:sz w:val="20"/>
          <w:szCs w:val="20"/>
          <w:lang w:val="en-US"/>
        </w:rPr>
        <w:t xml:space="preserve">of </w:t>
      </w:r>
      <w:r>
        <w:rPr>
          <w:i/>
          <w:iCs/>
          <w:sz w:val="20"/>
          <w:szCs w:val="20"/>
          <w:lang w:val="en-US"/>
        </w:rPr>
        <w:t>Chemistry, University of Warsaw</w:t>
      </w:r>
      <w:r w:rsidRPr="00F125BB">
        <w:rPr>
          <w:i/>
          <w:iCs/>
          <w:sz w:val="20"/>
          <w:szCs w:val="20"/>
          <w:lang w:val="en-US"/>
        </w:rPr>
        <w:t xml:space="preserve">, Pasteura </w:t>
      </w:r>
      <w:r>
        <w:rPr>
          <w:i/>
          <w:iCs/>
          <w:sz w:val="20"/>
          <w:szCs w:val="20"/>
          <w:lang w:val="en-US"/>
        </w:rPr>
        <w:t>1</w:t>
      </w:r>
      <w:r w:rsidRPr="00F125BB">
        <w:rPr>
          <w:i/>
          <w:iCs/>
          <w:sz w:val="20"/>
          <w:szCs w:val="20"/>
          <w:lang w:val="en-US"/>
        </w:rPr>
        <w:t>, 02-093 Warsaw, Poland</w:t>
      </w:r>
    </w:p>
    <w:p w:rsidR="00AB7090" w:rsidRPr="00F125BB" w:rsidRDefault="00AB7090" w:rsidP="00F125BB">
      <w:pPr>
        <w:spacing w:line="360" w:lineRule="auto"/>
        <w:jc w:val="both"/>
        <w:rPr>
          <w:i/>
          <w:iCs/>
          <w:sz w:val="20"/>
          <w:szCs w:val="20"/>
          <w:lang w:val="en-US"/>
        </w:rPr>
      </w:pPr>
      <w:r w:rsidRPr="000027DA">
        <w:rPr>
          <w:i/>
          <w:iCs/>
          <w:sz w:val="20"/>
          <w:szCs w:val="20"/>
          <w:vertAlign w:val="superscript"/>
          <w:lang w:val="en-US"/>
        </w:rPr>
        <w:t>3</w:t>
      </w:r>
      <w:r w:rsidRPr="00813C5F">
        <w:rPr>
          <w:i/>
          <w:iCs/>
          <w:sz w:val="20"/>
          <w:szCs w:val="20"/>
          <w:lang w:val="en-US"/>
        </w:rPr>
        <w:t>Ludwik Hirszfeld</w:t>
      </w:r>
      <w:r>
        <w:rPr>
          <w:i/>
          <w:iCs/>
          <w:sz w:val="20"/>
          <w:szCs w:val="20"/>
          <w:vertAlign w:val="superscript"/>
          <w:lang w:val="en-US"/>
        </w:rPr>
        <w:t xml:space="preserve"> </w:t>
      </w:r>
      <w:r w:rsidRPr="00F125BB">
        <w:rPr>
          <w:i/>
          <w:iCs/>
          <w:sz w:val="20"/>
          <w:szCs w:val="20"/>
          <w:lang w:val="en-US"/>
        </w:rPr>
        <w:t>Institute of Immunology and Experimental Therapy,</w:t>
      </w:r>
      <w:r>
        <w:rPr>
          <w:i/>
          <w:iCs/>
          <w:sz w:val="20"/>
          <w:szCs w:val="20"/>
          <w:lang w:val="en-US"/>
        </w:rPr>
        <w:t xml:space="preserve"> Polish Academy of Sciences, </w:t>
      </w:r>
      <w:r w:rsidRPr="00F125BB">
        <w:rPr>
          <w:i/>
          <w:iCs/>
          <w:sz w:val="20"/>
          <w:szCs w:val="20"/>
          <w:lang w:val="en-US"/>
        </w:rPr>
        <w:t xml:space="preserve">R. Weigl </w:t>
      </w:r>
      <w:r>
        <w:rPr>
          <w:i/>
          <w:iCs/>
          <w:sz w:val="20"/>
          <w:szCs w:val="20"/>
          <w:lang w:val="en-US"/>
        </w:rPr>
        <w:t>12, 53-114</w:t>
      </w:r>
      <w:r w:rsidRPr="00F125BB">
        <w:rPr>
          <w:i/>
          <w:iCs/>
          <w:sz w:val="20"/>
          <w:szCs w:val="20"/>
          <w:lang w:val="en-US"/>
        </w:rPr>
        <w:t xml:space="preserve"> Wroclaw, Poland</w:t>
      </w:r>
    </w:p>
    <w:p w:rsidR="00AB7090" w:rsidRPr="00F125BB" w:rsidRDefault="00AB7090" w:rsidP="00F125BB">
      <w:pPr>
        <w:spacing w:line="360" w:lineRule="auto"/>
        <w:jc w:val="both"/>
        <w:rPr>
          <w:i/>
          <w:iCs/>
          <w:sz w:val="20"/>
          <w:szCs w:val="20"/>
          <w:lang w:val="en-US"/>
        </w:rPr>
      </w:pPr>
      <w:r w:rsidRPr="00F125BB">
        <w:rPr>
          <w:i/>
          <w:iCs/>
          <w:sz w:val="20"/>
          <w:szCs w:val="20"/>
          <w:vertAlign w:val="superscript"/>
          <w:lang w:val="en-US"/>
        </w:rPr>
        <w:t>4</w:t>
      </w:r>
      <w:r w:rsidRPr="00F125BB">
        <w:rPr>
          <w:i/>
          <w:iCs/>
          <w:sz w:val="20"/>
          <w:szCs w:val="20"/>
          <w:lang w:val="en-US"/>
        </w:rPr>
        <w:t xml:space="preserve">Department of Medicinal Chemistry and Microbiology, Wroclaw University of Technology, Wybrzeze Wyspianskiego </w:t>
      </w:r>
      <w:r>
        <w:rPr>
          <w:i/>
          <w:iCs/>
          <w:sz w:val="20"/>
          <w:szCs w:val="20"/>
          <w:lang w:val="en-US"/>
        </w:rPr>
        <w:t>29</w:t>
      </w:r>
      <w:r w:rsidRPr="00F125BB">
        <w:rPr>
          <w:i/>
          <w:iCs/>
          <w:sz w:val="20"/>
          <w:szCs w:val="20"/>
          <w:lang w:val="en-US"/>
        </w:rPr>
        <w:t>, 50-373 Wroclaw, Poland</w:t>
      </w:r>
    </w:p>
    <w:p w:rsidR="00AB7090" w:rsidRPr="00F125BB" w:rsidRDefault="00AB7090" w:rsidP="00F125BB">
      <w:pPr>
        <w:spacing w:line="360" w:lineRule="auto"/>
        <w:jc w:val="both"/>
        <w:rPr>
          <w:i/>
          <w:iCs/>
          <w:sz w:val="20"/>
          <w:szCs w:val="20"/>
          <w:lang w:val="en-US"/>
        </w:rPr>
      </w:pPr>
      <w:r w:rsidRPr="00F125BB">
        <w:rPr>
          <w:i/>
          <w:iCs/>
          <w:sz w:val="20"/>
          <w:szCs w:val="20"/>
          <w:vertAlign w:val="superscript"/>
          <w:lang w:val="en-US"/>
        </w:rPr>
        <w:t>5</w:t>
      </w:r>
      <w:r w:rsidRPr="00F125BB">
        <w:rPr>
          <w:i/>
          <w:iCs/>
          <w:sz w:val="20"/>
          <w:szCs w:val="20"/>
          <w:lang w:val="en-US"/>
        </w:rPr>
        <w:t>Biological and Chemical Research Centre, University of Warsaw, Żwirki i Wigury 101, 02-089 Warsaw, Poland</w:t>
      </w:r>
    </w:p>
    <w:p w:rsidR="00AB7090" w:rsidRPr="00640764" w:rsidRDefault="00AB7090" w:rsidP="00F125BB">
      <w:pPr>
        <w:spacing w:line="360" w:lineRule="auto"/>
        <w:jc w:val="both"/>
        <w:rPr>
          <w:i/>
          <w:iCs/>
          <w:sz w:val="20"/>
          <w:szCs w:val="20"/>
          <w:lang w:val="en-US"/>
        </w:rPr>
      </w:pPr>
    </w:p>
    <w:p w:rsidR="00AB7090" w:rsidRDefault="00AB7090" w:rsidP="00F125BB">
      <w:pPr>
        <w:spacing w:line="360" w:lineRule="auto"/>
        <w:rPr>
          <w:lang w:val="en-US"/>
        </w:rPr>
      </w:pPr>
      <w:r w:rsidRPr="00BA55E5">
        <w:rPr>
          <w:vertAlign w:val="superscript"/>
          <w:lang w:val="en-US"/>
        </w:rPr>
        <w:t>&amp;</w:t>
      </w:r>
      <w:r>
        <w:rPr>
          <w:vertAlign w:val="superscript"/>
          <w:lang w:val="en-US"/>
        </w:rPr>
        <w:t xml:space="preserve"> </w:t>
      </w:r>
      <w:r>
        <w:rPr>
          <w:lang w:val="en-US"/>
        </w:rPr>
        <w:t>AM and MP contributed equally</w:t>
      </w:r>
    </w:p>
    <w:p w:rsidR="00AB7090" w:rsidRPr="00BA55E5" w:rsidRDefault="00AB7090" w:rsidP="00F125BB">
      <w:pPr>
        <w:spacing w:line="360" w:lineRule="auto"/>
        <w:rPr>
          <w:lang w:val="en-US"/>
        </w:rPr>
      </w:pPr>
    </w:p>
    <w:p w:rsidR="00AB7090" w:rsidRPr="009150AE" w:rsidRDefault="00AB7090" w:rsidP="00F125BB">
      <w:pPr>
        <w:spacing w:line="360" w:lineRule="auto"/>
        <w:rPr>
          <w:b/>
          <w:lang w:val="en-US"/>
        </w:rPr>
      </w:pPr>
      <w:r w:rsidRPr="009150AE">
        <w:rPr>
          <w:b/>
          <w:lang w:val="en-US"/>
        </w:rPr>
        <w:t>GRAPHICAL ABSTRACT:</w:t>
      </w:r>
    </w:p>
    <w:p w:rsidR="00AB7090" w:rsidRPr="009150AE" w:rsidRDefault="00AB7090" w:rsidP="00117300">
      <w:pPr>
        <w:spacing w:line="360" w:lineRule="auto"/>
        <w:rPr>
          <w:lang w:val="en-US"/>
        </w:rPr>
      </w:pPr>
    </w:p>
    <w:p w:rsidR="00AB7090" w:rsidRPr="009150AE" w:rsidRDefault="00AB7090" w:rsidP="00117300">
      <w:pPr>
        <w:spacing w:line="360" w:lineRule="auto"/>
        <w:rPr>
          <w:lang w:val="en-US"/>
        </w:rPr>
      </w:pPr>
      <w:r>
        <w:object w:dxaOrig="11640"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118pt" o:ole="">
            <v:imagedata r:id="rId7" o:title=""/>
          </v:shape>
          <o:OLEObject Type="Embed" ProgID="ISISServer" ShapeID="_x0000_i1025" DrawAspect="Content" ObjectID="_1577638291" r:id="rId8"/>
        </w:object>
      </w: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Pr="009150AE" w:rsidRDefault="00AB7090" w:rsidP="00117300">
      <w:pPr>
        <w:spacing w:line="360" w:lineRule="auto"/>
        <w:rPr>
          <w:b/>
          <w:lang w:val="en-US"/>
        </w:rPr>
      </w:pPr>
    </w:p>
    <w:p w:rsidR="00AB7090" w:rsidRDefault="00AB7090" w:rsidP="00117300">
      <w:pPr>
        <w:spacing w:line="360" w:lineRule="auto"/>
        <w:rPr>
          <w:b/>
          <w:lang w:val="en-US"/>
        </w:rPr>
      </w:pPr>
    </w:p>
    <w:p w:rsidR="00AB7090" w:rsidRPr="009150AE" w:rsidRDefault="00AB7090" w:rsidP="00117300">
      <w:pPr>
        <w:spacing w:line="360" w:lineRule="auto"/>
        <w:rPr>
          <w:b/>
          <w:lang w:val="en-US"/>
        </w:rPr>
      </w:pPr>
    </w:p>
    <w:p w:rsidR="00AB7090" w:rsidRDefault="00AB7090" w:rsidP="00117300">
      <w:pPr>
        <w:spacing w:line="360" w:lineRule="auto"/>
        <w:rPr>
          <w:b/>
          <w:lang w:val="en-US"/>
        </w:rPr>
      </w:pPr>
      <w:r>
        <w:rPr>
          <w:b/>
          <w:lang w:val="en-US"/>
        </w:rPr>
        <w:t>Abstract</w:t>
      </w:r>
    </w:p>
    <w:p w:rsidR="00AB7090" w:rsidRPr="001A71F8" w:rsidRDefault="00AB7090" w:rsidP="003F58B0">
      <w:pPr>
        <w:autoSpaceDE w:val="0"/>
        <w:autoSpaceDN w:val="0"/>
        <w:adjustRightInd w:val="0"/>
        <w:spacing w:line="360" w:lineRule="auto"/>
        <w:ind w:firstLine="720"/>
        <w:jc w:val="both"/>
        <w:rPr>
          <w:lang w:val="en-US"/>
        </w:rPr>
      </w:pPr>
      <w:r w:rsidRPr="00852A38">
        <w:rPr>
          <w:lang w:val="en-US"/>
        </w:rPr>
        <w:t xml:space="preserve">A series of </w:t>
      </w:r>
      <w:r>
        <w:rPr>
          <w:lang w:val="en-US"/>
        </w:rPr>
        <w:t>optically pure</w:t>
      </w:r>
      <w:r w:rsidRPr="001E7AF0">
        <w:rPr>
          <w:lang w:val="en-US"/>
        </w:rPr>
        <w:t xml:space="preserve"> </w:t>
      </w:r>
      <w:r w:rsidRPr="001E7AF0">
        <w:rPr>
          <w:i/>
          <w:lang w:val="en-US"/>
        </w:rPr>
        <w:t>(</w:t>
      </w:r>
      <w:r>
        <w:rPr>
          <w:i/>
          <w:lang w:val="en-US"/>
        </w:rPr>
        <w:t>R</w:t>
      </w:r>
      <w:r w:rsidRPr="001E7AF0">
        <w:rPr>
          <w:lang w:val="en-US"/>
        </w:rPr>
        <w:t>)</w:t>
      </w:r>
      <w:r>
        <w:rPr>
          <w:lang w:val="en-US"/>
        </w:rPr>
        <w:t>- and</w:t>
      </w:r>
      <w:r w:rsidRPr="001E7AF0">
        <w:rPr>
          <w:i/>
          <w:lang w:val="en-US"/>
        </w:rPr>
        <w:t xml:space="preserve"> (S</w:t>
      </w:r>
      <w:r w:rsidRPr="001E7AF0">
        <w:rPr>
          <w:lang w:val="en-US"/>
        </w:rPr>
        <w:t>)-1,3,4,12a-tetrahydropyrazino[2,1-</w:t>
      </w:r>
      <w:r w:rsidRPr="001E7AF0">
        <w:rPr>
          <w:i/>
          <w:lang w:val="en-US"/>
        </w:rPr>
        <w:t>c</w:t>
      </w:r>
      <w:r w:rsidRPr="001E7AF0">
        <w:rPr>
          <w:lang w:val="en-US"/>
        </w:rPr>
        <w:t>][1,4]benzodiazepine-6,12(2</w:t>
      </w:r>
      <w:r w:rsidRPr="001E7AF0">
        <w:rPr>
          <w:i/>
          <w:lang w:val="en-US"/>
        </w:rPr>
        <w:t>H</w:t>
      </w:r>
      <w:r w:rsidRPr="001E7AF0">
        <w:rPr>
          <w:lang w:val="en-US"/>
        </w:rPr>
        <w:t>,11</w:t>
      </w:r>
      <w:r w:rsidRPr="001E7AF0">
        <w:rPr>
          <w:i/>
          <w:lang w:val="en-US"/>
        </w:rPr>
        <w:t>H</w:t>
      </w:r>
      <w:r w:rsidRPr="001E7AF0">
        <w:rPr>
          <w:lang w:val="en-US"/>
        </w:rPr>
        <w:t>)-dione derivatives</w:t>
      </w:r>
      <w:r>
        <w:rPr>
          <w:lang w:val="en-US"/>
        </w:rPr>
        <w:t xml:space="preserve"> was designed and synthesized as novel anthramycin analogues in a three-step, one-pot procedure, and tested for their antiproliferative activity on nine following cell lines:  MV-4-11, UMUC-3, MDA-MB-231, MCF7, LoVo, HT-29, A-549, A2780 and BALB/3T3. The key structural features responsible for exhibition of cytotoxic effect were determined: the (</w:t>
      </w:r>
      <w:r w:rsidRPr="00E70265">
        <w:rPr>
          <w:i/>
          <w:iCs/>
          <w:lang w:val="en-US"/>
        </w:rPr>
        <w:t>S</w:t>
      </w:r>
      <w:r>
        <w:rPr>
          <w:lang w:val="en-US"/>
        </w:rPr>
        <w:t>)-configuration of chiral center and the presence of hydrophobic 4-biphenyl substituent in the side chain. Introduction of bromine atom into the 8 position (</w:t>
      </w:r>
      <w:r w:rsidRPr="0069449E">
        <w:rPr>
          <w:b/>
          <w:bCs/>
          <w:lang w:val="en-US"/>
        </w:rPr>
        <w:t>8g</w:t>
      </w:r>
      <w:r>
        <w:rPr>
          <w:lang w:val="en-US"/>
        </w:rPr>
        <w:t>) or substitution of dilactam ring with benzyl group (</w:t>
      </w:r>
      <w:r w:rsidRPr="0069449E">
        <w:rPr>
          <w:b/>
          <w:bCs/>
          <w:lang w:val="en-US"/>
        </w:rPr>
        <w:t>8m</w:t>
      </w:r>
      <w:r>
        <w:rPr>
          <w:lang w:val="en-US"/>
        </w:rPr>
        <w:t xml:space="preserve">) further improved the activity and selectivity of investigated compounds. Among others, compound </w:t>
      </w:r>
      <w:r w:rsidRPr="001A71F8">
        <w:rPr>
          <w:b/>
          <w:bCs/>
          <w:lang w:val="en-US"/>
        </w:rPr>
        <w:t>8g</w:t>
      </w:r>
      <w:r>
        <w:rPr>
          <w:lang w:val="en-US"/>
        </w:rPr>
        <w:t xml:space="preserve"> exhibited selective cytotoxic effect against MV-4-11 (IC</w:t>
      </w:r>
      <w:r>
        <w:rPr>
          <w:vertAlign w:val="subscript"/>
          <w:lang w:val="en-US"/>
        </w:rPr>
        <w:t>50</w:t>
      </w:r>
      <w:r>
        <w:rPr>
          <w:lang w:val="en-US"/>
        </w:rPr>
        <w:t>= 8.7 μM) and HT-29 (IC</w:t>
      </w:r>
      <w:r>
        <w:rPr>
          <w:vertAlign w:val="subscript"/>
          <w:lang w:val="en-US"/>
        </w:rPr>
        <w:t>50</w:t>
      </w:r>
      <w:r>
        <w:rPr>
          <w:lang w:val="en-US"/>
        </w:rPr>
        <w:t xml:space="preserve">= 17.8 μM) cell lines, while </w:t>
      </w:r>
      <w:r w:rsidRPr="00514831">
        <w:rPr>
          <w:b/>
          <w:bCs/>
          <w:lang w:val="en-US"/>
        </w:rPr>
        <w:t>8m</w:t>
      </w:r>
      <w:r>
        <w:rPr>
          <w:lang w:val="en-US"/>
        </w:rPr>
        <w:t xml:space="preserve"> showed noticeable anticancer activity against MV-4-11 (IC</w:t>
      </w:r>
      <w:r>
        <w:rPr>
          <w:vertAlign w:val="subscript"/>
          <w:lang w:val="en-US"/>
        </w:rPr>
        <w:t>50</w:t>
      </w:r>
      <w:r>
        <w:rPr>
          <w:lang w:val="en-US"/>
        </w:rPr>
        <w:t>= 10.8 μM) and LoVo (IC</w:t>
      </w:r>
      <w:r>
        <w:rPr>
          <w:vertAlign w:val="subscript"/>
          <w:lang w:val="en-US"/>
        </w:rPr>
        <w:t>50</w:t>
      </w:r>
      <w:r>
        <w:rPr>
          <w:lang w:val="en-US"/>
        </w:rPr>
        <w:t>= 11.0 μM) cell lines. The cell cycle arrest in</w:t>
      </w:r>
      <w:r w:rsidRPr="003F58B0">
        <w:rPr>
          <w:iCs/>
          <w:lang w:val="en-US"/>
        </w:rPr>
        <w:t xml:space="preserve"> </w:t>
      </w:r>
      <w:r>
        <w:rPr>
          <w:iCs/>
          <w:lang w:val="en-US"/>
        </w:rPr>
        <w:t>G</w:t>
      </w:r>
      <w:r w:rsidRPr="00C54BC0">
        <w:rPr>
          <w:iCs/>
          <w:vertAlign w:val="subscript"/>
          <w:lang w:val="en-US"/>
        </w:rPr>
        <w:t>1</w:t>
      </w:r>
      <w:r>
        <w:rPr>
          <w:iCs/>
          <w:lang w:val="en-US"/>
        </w:rPr>
        <w:t>/S checkpoint and apoptosis associated with o</w:t>
      </w:r>
      <w:r>
        <w:rPr>
          <w:lang w:val="en-US"/>
        </w:rPr>
        <w:t xml:space="preserve">verproduction of reactive oxygen species was also observed for </w:t>
      </w:r>
      <w:r w:rsidRPr="00CA1110">
        <w:rPr>
          <w:b/>
          <w:bCs/>
          <w:lang w:val="en-US"/>
        </w:rPr>
        <w:t>8e</w:t>
      </w:r>
      <w:r>
        <w:rPr>
          <w:lang w:val="en-US"/>
        </w:rPr>
        <w:t xml:space="preserve"> and </w:t>
      </w:r>
      <w:r w:rsidRPr="00CA1110">
        <w:rPr>
          <w:b/>
          <w:bCs/>
          <w:lang w:val="en-US"/>
        </w:rPr>
        <w:t>8m</w:t>
      </w:r>
      <w:r>
        <w:rPr>
          <w:lang w:val="en-US"/>
        </w:rPr>
        <w:t>.</w:t>
      </w:r>
    </w:p>
    <w:p w:rsidR="00AB7090" w:rsidRDefault="00AB7090" w:rsidP="00B33DBD">
      <w:pPr>
        <w:autoSpaceDE w:val="0"/>
        <w:autoSpaceDN w:val="0"/>
        <w:adjustRightInd w:val="0"/>
        <w:spacing w:line="360" w:lineRule="auto"/>
        <w:jc w:val="both"/>
        <w:rPr>
          <w:lang w:val="en-US"/>
        </w:rPr>
      </w:pPr>
    </w:p>
    <w:p w:rsidR="00AB7090" w:rsidRDefault="00AB7090" w:rsidP="00B33DBD">
      <w:pPr>
        <w:autoSpaceDE w:val="0"/>
        <w:autoSpaceDN w:val="0"/>
        <w:adjustRightInd w:val="0"/>
        <w:spacing w:line="360" w:lineRule="auto"/>
        <w:jc w:val="both"/>
        <w:rPr>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Default="00AB7090" w:rsidP="00117300">
      <w:pPr>
        <w:spacing w:line="360" w:lineRule="auto"/>
        <w:rPr>
          <w:b/>
          <w:lang w:val="en-US"/>
        </w:rPr>
      </w:pPr>
    </w:p>
    <w:p w:rsidR="00AB7090" w:rsidRPr="00DF2061" w:rsidRDefault="00AB7090" w:rsidP="00C07F91">
      <w:pPr>
        <w:tabs>
          <w:tab w:val="left" w:pos="5400"/>
        </w:tabs>
        <w:spacing w:line="360" w:lineRule="auto"/>
        <w:jc w:val="both"/>
        <w:rPr>
          <w:rFonts w:eastAsia="MS Mincho"/>
          <w:color w:val="000000"/>
          <w:lang w:val="en-US" w:eastAsia="ja-JP"/>
        </w:rPr>
      </w:pPr>
      <w:r w:rsidRPr="009150AE">
        <w:rPr>
          <w:bCs/>
          <w:lang w:val="en-US"/>
        </w:rPr>
        <w:t xml:space="preserve">             Anthramycin (</w:t>
      </w:r>
      <w:r w:rsidRPr="009150AE">
        <w:rPr>
          <w:b/>
          <w:lang w:val="en-US"/>
        </w:rPr>
        <w:t>1</w:t>
      </w:r>
      <w:r w:rsidRPr="009150AE">
        <w:rPr>
          <w:bCs/>
          <w:lang w:val="en-US"/>
        </w:rPr>
        <w:t xml:space="preserve">) and structurally related tricyclic pyrrolobenzodiazepine (PBD) antibiotics produced by various actinomycetes, possess unique features, which </w:t>
      </w:r>
      <w:r>
        <w:rPr>
          <w:bCs/>
          <w:lang w:val="en-US"/>
        </w:rPr>
        <w:t>permit them</w:t>
      </w:r>
      <w:r w:rsidRPr="009150AE">
        <w:rPr>
          <w:bCs/>
          <w:lang w:val="en-US"/>
        </w:rPr>
        <w:t xml:space="preserve"> to bind covalently through N10-C11 bond </w:t>
      </w:r>
      <w:r>
        <w:rPr>
          <w:bCs/>
          <w:lang w:val="en-US"/>
        </w:rPr>
        <w:t xml:space="preserve">to </w:t>
      </w:r>
      <w:r w:rsidRPr="009150AE">
        <w:rPr>
          <w:bCs/>
          <w:lang w:val="en-US"/>
        </w:rPr>
        <w:t>C2-NH</w:t>
      </w:r>
      <w:r w:rsidRPr="009150AE">
        <w:rPr>
          <w:bCs/>
          <w:vertAlign w:val="subscript"/>
          <w:lang w:val="en-US"/>
        </w:rPr>
        <w:t>2</w:t>
      </w:r>
      <w:r w:rsidRPr="009150AE">
        <w:rPr>
          <w:bCs/>
          <w:lang w:val="en-US"/>
        </w:rPr>
        <w:t xml:space="preserve"> group of guanine within the minor groove of DNA</w:t>
      </w:r>
      <w:r>
        <w:rPr>
          <w:bCs/>
          <w:lang w:val="en-US"/>
        </w:rPr>
        <w:t xml:space="preserve"> (Fig. 1)</w:t>
      </w:r>
      <w:r w:rsidRPr="009150AE">
        <w:rPr>
          <w:bCs/>
          <w:lang w:val="en-US"/>
        </w:rPr>
        <w:t>.</w:t>
      </w:r>
      <w:r>
        <w:rPr>
          <w:bCs/>
          <w:vertAlign w:val="superscript"/>
          <w:lang w:val="en-US"/>
        </w:rPr>
        <w:t>1,2</w:t>
      </w:r>
      <w:r w:rsidRPr="009150AE">
        <w:rPr>
          <w:bCs/>
          <w:lang w:val="en-US"/>
        </w:rPr>
        <w:t xml:space="preserve"> This class of compounds exhibit</w:t>
      </w:r>
      <w:r>
        <w:rPr>
          <w:bCs/>
          <w:lang w:val="en-US"/>
        </w:rPr>
        <w:t>s</w:t>
      </w:r>
      <w:r w:rsidRPr="009150AE">
        <w:rPr>
          <w:bCs/>
          <w:lang w:val="en-US"/>
        </w:rPr>
        <w:t xml:space="preserve"> antibacterial properties and selective cytotoxicity toward tumor cells</w:t>
      </w:r>
      <w:r>
        <w:rPr>
          <w:bCs/>
          <w:lang w:val="en-US"/>
        </w:rPr>
        <w:t>, and in c</w:t>
      </w:r>
      <w:r w:rsidRPr="009150AE">
        <w:rPr>
          <w:bCs/>
          <w:lang w:val="en-US"/>
        </w:rPr>
        <w:t xml:space="preserve">onsequence, </w:t>
      </w:r>
      <w:r>
        <w:rPr>
          <w:bCs/>
          <w:lang w:val="en-US"/>
        </w:rPr>
        <w:t>it</w:t>
      </w:r>
      <w:r w:rsidRPr="009150AE">
        <w:rPr>
          <w:bCs/>
          <w:lang w:val="en-US"/>
        </w:rPr>
        <w:t xml:space="preserve"> </w:t>
      </w:r>
      <w:r>
        <w:rPr>
          <w:bCs/>
          <w:lang w:val="en-US"/>
        </w:rPr>
        <w:t>received</w:t>
      </w:r>
      <w:r w:rsidRPr="009150AE">
        <w:rPr>
          <w:bCs/>
          <w:lang w:val="en-US"/>
        </w:rPr>
        <w:t xml:space="preserve"> a great attention of medicinal chemists as </w:t>
      </w:r>
      <w:r>
        <w:rPr>
          <w:bCs/>
          <w:lang w:val="en-US"/>
        </w:rPr>
        <w:t xml:space="preserve">a </w:t>
      </w:r>
      <w:r w:rsidRPr="009150AE">
        <w:rPr>
          <w:bCs/>
          <w:lang w:val="en-US"/>
        </w:rPr>
        <w:t>possible</w:t>
      </w:r>
      <w:r>
        <w:rPr>
          <w:bCs/>
          <w:lang w:val="en-US"/>
        </w:rPr>
        <w:t xml:space="preserve"> source of</w:t>
      </w:r>
      <w:r w:rsidRPr="009150AE">
        <w:rPr>
          <w:bCs/>
          <w:lang w:val="en-US"/>
        </w:rPr>
        <w:t xml:space="preserve"> anticancer and anti-MRSA agents.</w:t>
      </w:r>
      <w:r w:rsidRPr="00D32592">
        <w:rPr>
          <w:bCs/>
          <w:vertAlign w:val="superscript"/>
          <w:lang w:val="en-US"/>
        </w:rPr>
        <w:t>3-5</w:t>
      </w:r>
      <w:r w:rsidRPr="00D32592">
        <w:rPr>
          <w:bCs/>
          <w:color w:val="FF0000"/>
          <w:lang w:val="en-US"/>
        </w:rPr>
        <w:t xml:space="preserve"> </w:t>
      </w:r>
      <w:r w:rsidRPr="009150AE">
        <w:rPr>
          <w:bCs/>
          <w:lang w:val="en-US"/>
        </w:rPr>
        <w:t xml:space="preserve">One of </w:t>
      </w:r>
      <w:r>
        <w:rPr>
          <w:bCs/>
          <w:lang w:val="en-US"/>
        </w:rPr>
        <w:t xml:space="preserve">the </w:t>
      </w:r>
      <w:r w:rsidRPr="009150AE">
        <w:rPr>
          <w:bCs/>
          <w:lang w:val="en-US"/>
        </w:rPr>
        <w:t xml:space="preserve">dimeric </w:t>
      </w:r>
      <w:r>
        <w:rPr>
          <w:bCs/>
          <w:lang w:val="en-US"/>
        </w:rPr>
        <w:t>a</w:t>
      </w:r>
      <w:r w:rsidRPr="009150AE">
        <w:rPr>
          <w:bCs/>
          <w:lang w:val="en-US"/>
        </w:rPr>
        <w:t>nthramycin derivative</w:t>
      </w:r>
      <w:r>
        <w:rPr>
          <w:bCs/>
          <w:lang w:val="en-US"/>
        </w:rPr>
        <w:t>s</w:t>
      </w:r>
      <w:r w:rsidRPr="009150AE">
        <w:rPr>
          <w:bCs/>
          <w:lang w:val="en-US"/>
        </w:rPr>
        <w:t>, SJG-136,</w:t>
      </w:r>
      <w:r>
        <w:rPr>
          <w:bCs/>
          <w:lang w:val="en-US"/>
        </w:rPr>
        <w:t xml:space="preserve"> </w:t>
      </w:r>
      <w:r w:rsidRPr="009150AE">
        <w:rPr>
          <w:bCs/>
          <w:lang w:val="en-US"/>
        </w:rPr>
        <w:t xml:space="preserve">capable </w:t>
      </w:r>
      <w:r>
        <w:rPr>
          <w:bCs/>
          <w:lang w:val="en-US"/>
        </w:rPr>
        <w:t>of</w:t>
      </w:r>
      <w:r w:rsidRPr="009150AE">
        <w:rPr>
          <w:bCs/>
          <w:lang w:val="en-US"/>
        </w:rPr>
        <w:t xml:space="preserve"> formation of DNA cross-links, successfully completed Phase I clinical trials and progressed to Phase II.</w:t>
      </w:r>
      <w:r>
        <w:rPr>
          <w:bCs/>
          <w:vertAlign w:val="superscript"/>
          <w:lang w:val="en-US"/>
        </w:rPr>
        <w:t>6,7</w:t>
      </w:r>
      <w:r w:rsidRPr="009150AE">
        <w:rPr>
          <w:bCs/>
          <w:lang w:val="en-US"/>
        </w:rPr>
        <w:t xml:space="preserve"> Even early reports revealed two main structural </w:t>
      </w:r>
      <w:r>
        <w:rPr>
          <w:bCs/>
          <w:lang w:val="en-US"/>
        </w:rPr>
        <w:t>features</w:t>
      </w:r>
      <w:r w:rsidRPr="009150AE">
        <w:rPr>
          <w:bCs/>
          <w:lang w:val="en-US"/>
        </w:rPr>
        <w:t xml:space="preserve"> </w:t>
      </w:r>
      <w:r>
        <w:rPr>
          <w:bCs/>
          <w:lang w:val="en-US"/>
        </w:rPr>
        <w:t>of PBD</w:t>
      </w:r>
      <w:r w:rsidRPr="009150AE">
        <w:rPr>
          <w:bCs/>
          <w:lang w:val="en-US"/>
        </w:rPr>
        <w:t xml:space="preserve">s responsible for binding to </w:t>
      </w:r>
      <w:r>
        <w:rPr>
          <w:bCs/>
          <w:lang w:val="en-US"/>
        </w:rPr>
        <w:t xml:space="preserve">the </w:t>
      </w:r>
      <w:r w:rsidRPr="009150AE">
        <w:rPr>
          <w:bCs/>
          <w:lang w:val="en-US"/>
        </w:rPr>
        <w:t>DNA</w:t>
      </w:r>
      <w:r>
        <w:rPr>
          <w:bCs/>
          <w:lang w:val="en-US"/>
        </w:rPr>
        <w:t>’s</w:t>
      </w:r>
      <w:r w:rsidRPr="009150AE">
        <w:rPr>
          <w:bCs/>
          <w:lang w:val="en-US"/>
        </w:rPr>
        <w:t xml:space="preserve"> minor </w:t>
      </w:r>
      <w:r>
        <w:rPr>
          <w:bCs/>
          <w:lang w:val="en-US"/>
        </w:rPr>
        <w:t>groove</w:t>
      </w:r>
      <w:r w:rsidRPr="009150AE">
        <w:rPr>
          <w:bCs/>
          <w:lang w:val="en-US"/>
        </w:rPr>
        <w:t xml:space="preserve">: presence of </w:t>
      </w:r>
      <w:r>
        <w:rPr>
          <w:bCs/>
          <w:lang w:val="en-US"/>
        </w:rPr>
        <w:t xml:space="preserve">a </w:t>
      </w:r>
      <w:r w:rsidRPr="009150AE">
        <w:rPr>
          <w:bCs/>
          <w:lang w:val="en-US"/>
        </w:rPr>
        <w:t xml:space="preserve">reactive, alkylating group (imine, carbinoloamine or carbinoloamine methyl ester) and </w:t>
      </w:r>
      <w:r>
        <w:rPr>
          <w:bCs/>
          <w:lang w:val="en-US"/>
        </w:rPr>
        <w:t xml:space="preserve">an </w:t>
      </w:r>
      <w:r w:rsidRPr="009150AE">
        <w:rPr>
          <w:bCs/>
          <w:i/>
          <w:iCs/>
          <w:lang w:val="en-US"/>
        </w:rPr>
        <w:t>S</w:t>
      </w:r>
      <w:r w:rsidRPr="009150AE">
        <w:rPr>
          <w:bCs/>
          <w:lang w:val="en-US"/>
        </w:rPr>
        <w:t xml:space="preserve"> configuration on the chiral center</w:t>
      </w:r>
      <w:r>
        <w:rPr>
          <w:bCs/>
          <w:lang w:val="en-US"/>
        </w:rPr>
        <w:t xml:space="preserve"> at the C11a-position</w:t>
      </w:r>
      <w:r w:rsidRPr="00660050">
        <w:rPr>
          <w:bCs/>
          <w:lang w:val="en-US"/>
        </w:rPr>
        <w:t>, causing</w:t>
      </w:r>
      <w:r>
        <w:rPr>
          <w:bCs/>
          <w:lang w:val="en-US"/>
        </w:rPr>
        <w:t xml:space="preserve"> the longitudinal twist and isohelicity with the minor groove of DNA</w:t>
      </w:r>
      <w:r w:rsidRPr="009150AE">
        <w:rPr>
          <w:bCs/>
          <w:lang w:val="en-US"/>
        </w:rPr>
        <w:t xml:space="preserve">. Some later reports revealed that even compounds deprived of </w:t>
      </w:r>
      <w:r>
        <w:rPr>
          <w:bCs/>
          <w:lang w:val="en-US"/>
        </w:rPr>
        <w:t xml:space="preserve">the </w:t>
      </w:r>
      <w:r w:rsidRPr="009150AE">
        <w:rPr>
          <w:bCs/>
          <w:lang w:val="en-US"/>
        </w:rPr>
        <w:t xml:space="preserve">alkylating group at </w:t>
      </w:r>
      <w:r>
        <w:rPr>
          <w:bCs/>
          <w:lang w:val="en-US"/>
        </w:rPr>
        <w:t xml:space="preserve">the </w:t>
      </w:r>
      <w:r w:rsidRPr="009150AE">
        <w:rPr>
          <w:bCs/>
          <w:lang w:val="en-US"/>
        </w:rPr>
        <w:t>N10-C11 bond could still bind and interact with DNA strands</w:t>
      </w:r>
      <w:r>
        <w:rPr>
          <w:bCs/>
          <w:lang w:val="en-US"/>
        </w:rPr>
        <w:t>,</w:t>
      </w:r>
      <w:r w:rsidRPr="009150AE">
        <w:rPr>
          <w:bCs/>
          <w:lang w:val="en-US"/>
        </w:rPr>
        <w:t xml:space="preserve"> by non-covalent interactions</w:t>
      </w:r>
      <w:r>
        <w:rPr>
          <w:bCs/>
          <w:lang w:val="en-US"/>
        </w:rPr>
        <w:t>,</w:t>
      </w:r>
      <w:r w:rsidRPr="009150AE">
        <w:rPr>
          <w:bCs/>
          <w:lang w:val="en-US"/>
        </w:rPr>
        <w:t xml:space="preserve"> </w:t>
      </w:r>
      <w:r>
        <w:rPr>
          <w:bCs/>
          <w:lang w:val="en-US"/>
        </w:rPr>
        <w:t xml:space="preserve">when </w:t>
      </w:r>
      <w:r w:rsidRPr="009150AE">
        <w:rPr>
          <w:bCs/>
          <w:lang w:val="en-US"/>
        </w:rPr>
        <w:t xml:space="preserve">the appropriate geometry of binding molecule </w:t>
      </w:r>
      <w:r>
        <w:rPr>
          <w:bCs/>
          <w:lang w:val="en-US"/>
        </w:rPr>
        <w:t>was</w:t>
      </w:r>
      <w:r w:rsidRPr="009150AE">
        <w:rPr>
          <w:bCs/>
          <w:lang w:val="en-US"/>
        </w:rPr>
        <w:t xml:space="preserve"> preserved. This phenomenon was mainly investigated on </w:t>
      </w:r>
      <w:r>
        <w:rPr>
          <w:bCs/>
          <w:lang w:val="en-US"/>
        </w:rPr>
        <w:t>PBD</w:t>
      </w:r>
      <w:r w:rsidRPr="009150AE">
        <w:rPr>
          <w:bCs/>
          <w:lang w:val="en-US"/>
        </w:rPr>
        <w:t>s possessing amide</w:t>
      </w:r>
      <w:r>
        <w:rPr>
          <w:bCs/>
          <w:vertAlign w:val="superscript"/>
          <w:lang w:val="en-US"/>
        </w:rPr>
        <w:t>8,9</w:t>
      </w:r>
      <w:r w:rsidRPr="009150AE">
        <w:rPr>
          <w:bCs/>
          <w:lang w:val="en-US"/>
        </w:rPr>
        <w:t xml:space="preserve"> or amidine group.</w:t>
      </w:r>
      <w:r>
        <w:rPr>
          <w:bCs/>
          <w:vertAlign w:val="superscript"/>
          <w:lang w:val="en-US"/>
        </w:rPr>
        <w:t>10</w:t>
      </w:r>
      <w:r w:rsidRPr="00D32592">
        <w:rPr>
          <w:bCs/>
          <w:color w:val="FF0000"/>
          <w:lang w:val="en-US"/>
        </w:rPr>
        <w:t xml:space="preserve"> </w:t>
      </w:r>
      <w:r w:rsidRPr="009150AE">
        <w:rPr>
          <w:bCs/>
          <w:lang w:val="en-US"/>
        </w:rPr>
        <w:t xml:space="preserve">Derivatives </w:t>
      </w:r>
      <w:r w:rsidRPr="009150AE">
        <w:rPr>
          <w:b/>
          <w:lang w:val="en-US"/>
        </w:rPr>
        <w:t>2a</w:t>
      </w:r>
      <w:r w:rsidRPr="00D32592">
        <w:rPr>
          <w:vertAlign w:val="superscript"/>
          <w:lang w:val="en-US"/>
        </w:rPr>
        <w:t>8</w:t>
      </w:r>
      <w:r w:rsidRPr="009150AE">
        <w:rPr>
          <w:bCs/>
          <w:lang w:val="en-US"/>
        </w:rPr>
        <w:t xml:space="preserve"> and </w:t>
      </w:r>
      <w:r w:rsidRPr="009150AE">
        <w:rPr>
          <w:b/>
          <w:lang w:val="en-US"/>
        </w:rPr>
        <w:t>4</w:t>
      </w:r>
      <w:r w:rsidRPr="00D32592">
        <w:rPr>
          <w:vertAlign w:val="superscript"/>
          <w:lang w:val="en-US"/>
        </w:rPr>
        <w:t>10</w:t>
      </w:r>
      <w:r w:rsidRPr="009150AE">
        <w:rPr>
          <w:bCs/>
          <w:lang w:val="en-US"/>
        </w:rPr>
        <w:t xml:space="preserve"> </w:t>
      </w:r>
      <w:r>
        <w:rPr>
          <w:bCs/>
          <w:lang w:val="en-US"/>
        </w:rPr>
        <w:t xml:space="preserve">(Fig. 1) </w:t>
      </w:r>
      <w:r w:rsidRPr="009150AE">
        <w:rPr>
          <w:bCs/>
          <w:lang w:val="en-US"/>
        </w:rPr>
        <w:t xml:space="preserve">elevated the melting </w:t>
      </w:r>
      <w:r>
        <w:rPr>
          <w:bCs/>
          <w:lang w:val="en-US"/>
        </w:rPr>
        <w:t>temperature</w:t>
      </w:r>
      <w:r w:rsidRPr="009150AE">
        <w:rPr>
          <w:bCs/>
          <w:lang w:val="en-US"/>
        </w:rPr>
        <w:t xml:space="preserve"> of DNA by 3.3±0.8 K and 0.7±0.1 K</w:t>
      </w:r>
      <w:r>
        <w:rPr>
          <w:bCs/>
          <w:lang w:val="en-US"/>
        </w:rPr>
        <w:t>,</w:t>
      </w:r>
      <w:r w:rsidRPr="009150AE">
        <w:rPr>
          <w:bCs/>
          <w:lang w:val="en-US"/>
        </w:rPr>
        <w:t xml:space="preserve"> respectively. Recent report</w:t>
      </w:r>
      <w:r>
        <w:rPr>
          <w:bCs/>
          <w:vertAlign w:val="superscript"/>
          <w:lang w:val="en-US"/>
        </w:rPr>
        <w:t>9</w:t>
      </w:r>
      <w:r>
        <w:rPr>
          <w:bCs/>
          <w:lang w:val="en-US"/>
        </w:rPr>
        <w:t xml:space="preserve"> </w:t>
      </w:r>
      <w:r w:rsidRPr="009150AE">
        <w:rPr>
          <w:bCs/>
          <w:lang w:val="en-US"/>
        </w:rPr>
        <w:t xml:space="preserve">presented </w:t>
      </w:r>
      <w:r>
        <w:rPr>
          <w:bCs/>
          <w:lang w:val="en-US"/>
        </w:rPr>
        <w:t>a</w:t>
      </w:r>
      <w:r w:rsidRPr="009150AE">
        <w:rPr>
          <w:bCs/>
          <w:lang w:val="en-US"/>
        </w:rPr>
        <w:t xml:space="preserve"> C2-aryl pyrrolo[2,1</w:t>
      </w:r>
      <w:r w:rsidRPr="009150AE">
        <w:rPr>
          <w:bCs/>
          <w:i/>
          <w:iCs/>
          <w:lang w:val="en-US"/>
        </w:rPr>
        <w:t>-c</w:t>
      </w:r>
      <w:r w:rsidRPr="009150AE">
        <w:rPr>
          <w:bCs/>
          <w:lang w:val="en-US"/>
        </w:rPr>
        <w:t xml:space="preserve">][1,4]benzodiazepine-5,11-dione type </w:t>
      </w:r>
      <w:r w:rsidRPr="009150AE">
        <w:rPr>
          <w:b/>
          <w:lang w:val="en-US"/>
        </w:rPr>
        <w:t>3</w:t>
      </w:r>
      <w:r w:rsidRPr="009150AE">
        <w:rPr>
          <w:bCs/>
          <w:lang w:val="en-US"/>
        </w:rPr>
        <w:t xml:space="preserve"> library</w:t>
      </w:r>
      <w:r>
        <w:rPr>
          <w:bCs/>
          <w:lang w:val="en-US"/>
        </w:rPr>
        <w:t>, which</w:t>
      </w:r>
      <w:r w:rsidRPr="009150AE">
        <w:rPr>
          <w:bCs/>
          <w:lang w:val="en-US"/>
        </w:rPr>
        <w:t xml:space="preserve"> exhibited </w:t>
      </w:r>
      <w:r>
        <w:rPr>
          <w:bCs/>
          <w:lang w:val="en-US"/>
        </w:rPr>
        <w:t xml:space="preserve">a </w:t>
      </w:r>
      <w:r w:rsidRPr="009150AE">
        <w:rPr>
          <w:bCs/>
          <w:lang w:val="en-US"/>
        </w:rPr>
        <w:t>strong</w:t>
      </w:r>
      <w:r>
        <w:rPr>
          <w:bCs/>
          <w:lang w:val="en-US"/>
        </w:rPr>
        <w:t>,</w:t>
      </w:r>
      <w:r w:rsidRPr="009150AE">
        <w:rPr>
          <w:bCs/>
          <w:lang w:val="en-US"/>
        </w:rPr>
        <w:t xml:space="preserve"> non-covalent binding to DNA</w:t>
      </w:r>
      <w:r>
        <w:rPr>
          <w:bCs/>
          <w:lang w:val="en-US"/>
        </w:rPr>
        <w:t>,</w:t>
      </w:r>
      <w:r w:rsidRPr="009150AE">
        <w:rPr>
          <w:bCs/>
          <w:lang w:val="en-US"/>
        </w:rPr>
        <w:t xml:space="preserve"> and the newly introduced </w:t>
      </w:r>
      <w:r w:rsidRPr="009150AE">
        <w:rPr>
          <w:rFonts w:eastAsia="MS Mincho"/>
          <w:lang w:val="en-US" w:eastAsia="ja-JP"/>
        </w:rPr>
        <w:t xml:space="preserve">C2-aryl </w:t>
      </w:r>
      <w:r>
        <w:rPr>
          <w:rFonts w:eastAsia="MS Mincho"/>
          <w:lang w:val="en-US" w:eastAsia="ja-JP"/>
        </w:rPr>
        <w:t>substituents</w:t>
      </w:r>
      <w:r w:rsidRPr="009150AE">
        <w:rPr>
          <w:rFonts w:eastAsia="MS Mincho"/>
          <w:lang w:val="en-US" w:eastAsia="ja-JP"/>
        </w:rPr>
        <w:t xml:space="preserve"> to the PBD dilactam skeleton significantly enhanced</w:t>
      </w:r>
      <w:r w:rsidRPr="009150AE">
        <w:rPr>
          <w:bCs/>
          <w:lang w:val="en-US"/>
        </w:rPr>
        <w:t xml:space="preserve"> </w:t>
      </w:r>
      <w:r w:rsidRPr="009150AE">
        <w:rPr>
          <w:rFonts w:eastAsia="MS Mincho"/>
          <w:lang w:val="en-US" w:eastAsia="ja-JP"/>
        </w:rPr>
        <w:t>helix stabilization</w:t>
      </w:r>
      <w:r>
        <w:rPr>
          <w:rFonts w:eastAsia="MS Mincho"/>
          <w:lang w:val="en-US" w:eastAsia="ja-JP"/>
        </w:rPr>
        <w:t>, in</w:t>
      </w:r>
      <w:r w:rsidRPr="009150AE">
        <w:rPr>
          <w:rFonts w:eastAsia="MS Mincho"/>
          <w:lang w:val="en-US" w:eastAsia="ja-JP"/>
        </w:rPr>
        <w:t xml:space="preserve"> compar</w:t>
      </w:r>
      <w:r>
        <w:rPr>
          <w:rFonts w:eastAsia="MS Mincho"/>
          <w:lang w:val="en-US" w:eastAsia="ja-JP"/>
        </w:rPr>
        <w:t>ison</w:t>
      </w:r>
      <w:r w:rsidRPr="009150AE">
        <w:rPr>
          <w:rFonts w:eastAsia="MS Mincho"/>
          <w:lang w:val="en-US" w:eastAsia="ja-JP"/>
        </w:rPr>
        <w:t xml:space="preserve"> to the unsubstituted PBD dilactam. </w:t>
      </w:r>
      <w:r>
        <w:rPr>
          <w:bCs/>
          <w:lang w:val="en-US"/>
        </w:rPr>
        <w:t>The possible application of</w:t>
      </w:r>
      <w:r w:rsidRPr="009150AE">
        <w:rPr>
          <w:bCs/>
          <w:lang w:val="en-US"/>
        </w:rPr>
        <w:t xml:space="preserve"> </w:t>
      </w:r>
      <w:r w:rsidRPr="009150AE">
        <w:rPr>
          <w:rFonts w:eastAsia="MS Mincho"/>
          <w:color w:val="000000"/>
          <w:lang w:val="en-US" w:eastAsia="ja-JP"/>
        </w:rPr>
        <w:t>PBD</w:t>
      </w:r>
      <w:r>
        <w:rPr>
          <w:rFonts w:eastAsia="MS Mincho"/>
          <w:color w:val="000000"/>
          <w:lang w:val="en-US" w:eastAsia="ja-JP"/>
        </w:rPr>
        <w:t>’s</w:t>
      </w:r>
      <w:r w:rsidRPr="009150AE">
        <w:rPr>
          <w:rFonts w:eastAsia="MS Mincho"/>
          <w:color w:val="000000"/>
          <w:lang w:val="en-US" w:eastAsia="ja-JP"/>
        </w:rPr>
        <w:t xml:space="preserve"> dilactam</w:t>
      </w:r>
      <w:r>
        <w:rPr>
          <w:rFonts w:eastAsia="MS Mincho"/>
          <w:color w:val="000000"/>
          <w:lang w:val="en-US" w:eastAsia="ja-JP"/>
        </w:rPr>
        <w:t>s</w:t>
      </w:r>
      <w:r w:rsidRPr="009150AE">
        <w:rPr>
          <w:rFonts w:eastAsia="MS Mincho"/>
          <w:color w:val="000000"/>
          <w:lang w:val="en-US" w:eastAsia="ja-JP"/>
        </w:rPr>
        <w:t xml:space="preserve"> </w:t>
      </w:r>
      <w:r>
        <w:rPr>
          <w:rFonts w:eastAsia="MS Mincho"/>
          <w:color w:val="000000"/>
          <w:lang w:val="en-US" w:eastAsia="ja-JP"/>
        </w:rPr>
        <w:t xml:space="preserve">as antitumor compounds was initially reported by </w:t>
      </w:r>
      <w:r w:rsidRPr="009150AE">
        <w:rPr>
          <w:rFonts w:eastAsia="MS Mincho"/>
          <w:color w:val="000000"/>
          <w:lang w:val="en-US" w:eastAsia="ja-JP"/>
        </w:rPr>
        <w:t xml:space="preserve">Kaneko </w:t>
      </w:r>
      <w:r w:rsidRPr="00C07F91">
        <w:rPr>
          <w:rFonts w:eastAsia="MS Mincho"/>
          <w:i/>
          <w:iCs/>
          <w:color w:val="000000"/>
          <w:lang w:val="en-US" w:eastAsia="ja-JP"/>
        </w:rPr>
        <w:t>et al</w:t>
      </w:r>
      <w:r>
        <w:rPr>
          <w:rFonts w:eastAsia="MS Mincho"/>
          <w:i/>
          <w:iCs/>
          <w:color w:val="000000"/>
          <w:lang w:val="en-US" w:eastAsia="ja-JP"/>
        </w:rPr>
        <w:t>.</w:t>
      </w:r>
      <w:r>
        <w:rPr>
          <w:rFonts w:eastAsia="MS Mincho"/>
          <w:color w:val="000000"/>
          <w:lang w:val="en-US" w:eastAsia="ja-JP"/>
        </w:rPr>
        <w:t>,</w:t>
      </w:r>
      <w:r>
        <w:rPr>
          <w:rFonts w:eastAsia="MS Mincho"/>
          <w:color w:val="000000"/>
          <w:vertAlign w:val="superscript"/>
          <w:lang w:val="en-US" w:eastAsia="ja-JP"/>
        </w:rPr>
        <w:t xml:space="preserve">11 </w:t>
      </w:r>
      <w:r>
        <w:rPr>
          <w:rFonts w:eastAsia="MS Mincho"/>
          <w:color w:val="000000"/>
          <w:lang w:val="en-US" w:eastAsia="ja-JP"/>
        </w:rPr>
        <w:t>who observed, that</w:t>
      </w:r>
      <w:r>
        <w:rPr>
          <w:rFonts w:eastAsia="MS Mincho"/>
          <w:color w:val="FF0000"/>
          <w:lang w:val="en-US" w:eastAsia="ja-JP"/>
        </w:rPr>
        <w:t xml:space="preserve"> </w:t>
      </w:r>
      <w:r>
        <w:rPr>
          <w:rFonts w:eastAsia="MS Mincho"/>
          <w:color w:val="000000"/>
          <w:lang w:val="en-US" w:eastAsia="ja-JP"/>
        </w:rPr>
        <w:t>diacetate</w:t>
      </w:r>
      <w:r w:rsidRPr="009150AE">
        <w:rPr>
          <w:rFonts w:eastAsia="MS Mincho"/>
          <w:color w:val="000000"/>
          <w:lang w:val="en-US" w:eastAsia="ja-JP"/>
        </w:rPr>
        <w:t xml:space="preserve"> </w:t>
      </w:r>
      <w:r w:rsidRPr="009150AE">
        <w:rPr>
          <w:rFonts w:eastAsia="MS Mincho"/>
          <w:b/>
          <w:bCs/>
          <w:color w:val="000000"/>
          <w:lang w:val="en-US" w:eastAsia="ja-JP"/>
        </w:rPr>
        <w:t>2b</w:t>
      </w:r>
      <w:r w:rsidRPr="009150AE">
        <w:rPr>
          <w:rFonts w:eastAsia="MS Mincho"/>
          <w:color w:val="000000"/>
          <w:lang w:val="en-US" w:eastAsia="ja-JP"/>
        </w:rPr>
        <w:t xml:space="preserve"> ha</w:t>
      </w:r>
      <w:r>
        <w:rPr>
          <w:rFonts w:eastAsia="MS Mincho"/>
          <w:color w:val="000000"/>
          <w:lang w:val="en-US" w:eastAsia="ja-JP"/>
        </w:rPr>
        <w:t>d</w:t>
      </w:r>
      <w:r w:rsidRPr="009150AE">
        <w:rPr>
          <w:rFonts w:eastAsia="MS Mincho"/>
          <w:color w:val="000000"/>
          <w:lang w:val="en-US" w:eastAsia="ja-JP"/>
        </w:rPr>
        <w:t xml:space="preserve"> </w:t>
      </w:r>
      <w:r>
        <w:rPr>
          <w:rFonts w:eastAsia="MS Mincho"/>
          <w:color w:val="000000"/>
          <w:lang w:val="en-US" w:eastAsia="ja-JP"/>
        </w:rPr>
        <w:t xml:space="preserve">a </w:t>
      </w:r>
      <w:r w:rsidRPr="009150AE">
        <w:rPr>
          <w:rFonts w:eastAsia="MS Mincho"/>
          <w:color w:val="000000"/>
          <w:lang w:val="en-US" w:eastAsia="ja-JP"/>
        </w:rPr>
        <w:t xml:space="preserve">significant </w:t>
      </w:r>
      <w:r w:rsidRPr="00660050">
        <w:rPr>
          <w:rFonts w:eastAsia="MS Mincho"/>
          <w:i/>
          <w:color w:val="000000"/>
          <w:lang w:val="en-US" w:eastAsia="ja-JP"/>
        </w:rPr>
        <w:t>in vivo</w:t>
      </w:r>
      <w:r w:rsidRPr="009150AE">
        <w:rPr>
          <w:rFonts w:eastAsia="MS Mincho"/>
          <w:color w:val="000000"/>
          <w:lang w:val="en-US" w:eastAsia="ja-JP"/>
        </w:rPr>
        <w:t xml:space="preserve"> </w:t>
      </w:r>
      <w:r>
        <w:rPr>
          <w:rFonts w:eastAsia="MS Mincho"/>
          <w:color w:val="000000"/>
          <w:lang w:val="en-US" w:eastAsia="ja-JP"/>
        </w:rPr>
        <w:t>antitumo</w:t>
      </w:r>
      <w:r w:rsidRPr="009150AE">
        <w:rPr>
          <w:rFonts w:eastAsia="MS Mincho"/>
          <w:color w:val="000000"/>
          <w:lang w:val="en-US" w:eastAsia="ja-JP"/>
        </w:rPr>
        <w:t xml:space="preserve">r activity in </w:t>
      </w:r>
      <w:r>
        <w:rPr>
          <w:rFonts w:eastAsia="MS Mincho"/>
          <w:color w:val="000000"/>
          <w:lang w:val="en-US" w:eastAsia="ja-JP"/>
        </w:rPr>
        <w:t xml:space="preserve">the </w:t>
      </w:r>
      <w:r w:rsidRPr="009150AE">
        <w:rPr>
          <w:rFonts w:eastAsia="MS Mincho"/>
          <w:color w:val="000000"/>
          <w:lang w:val="en-US" w:eastAsia="ja-JP"/>
        </w:rPr>
        <w:t>P388 lymphocytic leukemia</w:t>
      </w:r>
      <w:r w:rsidRPr="009150AE">
        <w:rPr>
          <w:bCs/>
          <w:lang w:val="en-US"/>
        </w:rPr>
        <w:t xml:space="preserve"> </w:t>
      </w:r>
      <w:r w:rsidRPr="009150AE">
        <w:rPr>
          <w:rFonts w:eastAsia="MS Mincho"/>
          <w:color w:val="000000"/>
          <w:lang w:val="en-US" w:eastAsia="ja-JP"/>
        </w:rPr>
        <w:t>mouse model</w:t>
      </w:r>
      <w:r>
        <w:rPr>
          <w:rFonts w:eastAsia="MS Mincho"/>
          <w:color w:val="000000"/>
          <w:lang w:val="en-US" w:eastAsia="ja-JP"/>
        </w:rPr>
        <w:t xml:space="preserve">. </w:t>
      </w:r>
      <w:r w:rsidRPr="009150AE">
        <w:rPr>
          <w:rFonts w:eastAsia="MS Mincho"/>
          <w:lang w:val="en-US" w:eastAsia="ja-JP"/>
        </w:rPr>
        <w:t xml:space="preserve">During cytotoxic studies, derivative </w:t>
      </w:r>
      <w:r w:rsidRPr="009150AE">
        <w:rPr>
          <w:rFonts w:eastAsia="MS Mincho"/>
          <w:b/>
          <w:bCs/>
          <w:lang w:val="en-US" w:eastAsia="ja-JP"/>
        </w:rPr>
        <w:t>3</w:t>
      </w:r>
      <w:r w:rsidRPr="009150AE">
        <w:rPr>
          <w:rFonts w:eastAsia="MS Mincho"/>
          <w:lang w:val="en-US" w:eastAsia="ja-JP"/>
        </w:rPr>
        <w:t xml:space="preserve"> exhibited </w:t>
      </w:r>
      <w:r>
        <w:rPr>
          <w:rFonts w:eastAsia="MS Mincho"/>
          <w:lang w:val="en-US" w:eastAsia="ja-JP"/>
        </w:rPr>
        <w:t xml:space="preserve">a </w:t>
      </w:r>
      <w:r w:rsidRPr="009150AE">
        <w:rPr>
          <w:rFonts w:eastAsia="MS Mincho"/>
          <w:lang w:val="en-US" w:eastAsia="ja-JP"/>
        </w:rPr>
        <w:t>high antitumor activity against A498 cell line (renal cancer)</w:t>
      </w:r>
      <w:r>
        <w:rPr>
          <w:rFonts w:eastAsia="MS Mincho"/>
          <w:lang w:val="en-US" w:eastAsia="ja-JP"/>
        </w:rPr>
        <w:t>,</w:t>
      </w:r>
      <w:r w:rsidRPr="009150AE">
        <w:rPr>
          <w:rFonts w:eastAsia="MS Mincho"/>
          <w:lang w:val="en-US" w:eastAsia="ja-JP"/>
        </w:rPr>
        <w:t xml:space="preserve"> with GI</w:t>
      </w:r>
      <w:r w:rsidRPr="009150AE">
        <w:rPr>
          <w:rFonts w:eastAsia="MS Mincho"/>
          <w:vertAlign w:val="subscript"/>
          <w:lang w:val="en-US" w:eastAsia="ja-JP"/>
        </w:rPr>
        <w:t>50</w:t>
      </w:r>
      <w:r w:rsidRPr="009150AE">
        <w:rPr>
          <w:rFonts w:eastAsia="MS Mincho"/>
          <w:lang w:val="en-US" w:eastAsia="ja-JP"/>
        </w:rPr>
        <w:t xml:space="preserve"> = 0.51 μM, </w:t>
      </w:r>
      <w:r>
        <w:rPr>
          <w:rFonts w:eastAsia="MS Mincho"/>
          <w:lang w:val="en-US" w:eastAsia="ja-JP"/>
        </w:rPr>
        <w:t>the</w:t>
      </w:r>
      <w:r w:rsidRPr="009150AE">
        <w:rPr>
          <w:rFonts w:eastAsia="MS Mincho"/>
          <w:lang w:val="en-US" w:eastAsia="ja-JP"/>
        </w:rPr>
        <w:t xml:space="preserve"> effect comparable with the reference compound – </w:t>
      </w:r>
      <w:r>
        <w:rPr>
          <w:rFonts w:eastAsia="MS Mincho"/>
          <w:lang w:val="en-US" w:eastAsia="ja-JP"/>
        </w:rPr>
        <w:t>a</w:t>
      </w:r>
      <w:r w:rsidRPr="009150AE">
        <w:rPr>
          <w:rFonts w:eastAsia="MS Mincho"/>
          <w:lang w:val="en-US" w:eastAsia="ja-JP"/>
        </w:rPr>
        <w:t>nthramycin (GI</w:t>
      </w:r>
      <w:r w:rsidRPr="009150AE">
        <w:rPr>
          <w:rFonts w:eastAsia="MS Mincho"/>
          <w:vertAlign w:val="subscript"/>
          <w:lang w:val="en-US" w:eastAsia="ja-JP"/>
        </w:rPr>
        <w:t>50</w:t>
      </w:r>
      <w:r w:rsidRPr="009150AE">
        <w:rPr>
          <w:rFonts w:eastAsia="MS Mincho"/>
          <w:lang w:val="en-US" w:eastAsia="ja-JP"/>
        </w:rPr>
        <w:t xml:space="preserve"> = 0.195 μM). </w:t>
      </w:r>
    </w:p>
    <w:p w:rsidR="00AB7090" w:rsidRPr="009150AE" w:rsidRDefault="00AB7090" w:rsidP="00677D9C">
      <w:pPr>
        <w:tabs>
          <w:tab w:val="left" w:pos="5400"/>
        </w:tabs>
        <w:spacing w:line="360" w:lineRule="auto"/>
        <w:jc w:val="both"/>
        <w:rPr>
          <w:lang w:val="en-US"/>
        </w:rPr>
      </w:pPr>
      <w:r w:rsidRPr="009150AE">
        <w:rPr>
          <w:bCs/>
          <w:lang w:val="en-US"/>
        </w:rPr>
        <w:t xml:space="preserve">Further experiments revealed that some other </w:t>
      </w:r>
      <w:r>
        <w:rPr>
          <w:bCs/>
          <w:lang w:val="en-US"/>
        </w:rPr>
        <w:t>a</w:t>
      </w:r>
      <w:r w:rsidRPr="009150AE">
        <w:rPr>
          <w:bCs/>
          <w:lang w:val="en-US"/>
        </w:rPr>
        <w:t>nthramycin analogues</w:t>
      </w:r>
      <w:r>
        <w:rPr>
          <w:bCs/>
          <w:lang w:val="en-US"/>
        </w:rPr>
        <w:t>,</w:t>
      </w:r>
      <w:r w:rsidRPr="009150AE">
        <w:rPr>
          <w:bCs/>
          <w:lang w:val="en-US"/>
        </w:rPr>
        <w:t xml:space="preserve"> </w:t>
      </w:r>
      <w:r>
        <w:rPr>
          <w:bCs/>
          <w:lang w:val="en-US"/>
        </w:rPr>
        <w:t>such as</w:t>
      </w:r>
      <w:r w:rsidRPr="009150AE">
        <w:rPr>
          <w:bCs/>
          <w:lang w:val="en-US"/>
        </w:rPr>
        <w:t xml:space="preserve"> </w:t>
      </w:r>
      <w:r w:rsidRPr="009150AE">
        <w:rPr>
          <w:lang w:val="en-US"/>
        </w:rPr>
        <w:t>7,8,9,10-tetrahydrobenzo-[</w:t>
      </w:r>
      <w:r w:rsidRPr="009150AE">
        <w:rPr>
          <w:i/>
          <w:iCs/>
          <w:lang w:val="en-US"/>
        </w:rPr>
        <w:t>e</w:t>
      </w:r>
      <w:r w:rsidRPr="009150AE">
        <w:rPr>
          <w:lang w:val="en-US"/>
        </w:rPr>
        <w:t>]pyrido[1,2-</w:t>
      </w:r>
      <w:r w:rsidRPr="009150AE">
        <w:rPr>
          <w:i/>
          <w:iCs/>
          <w:lang w:val="en-US"/>
        </w:rPr>
        <w:t>a</w:t>
      </w:r>
      <w:r w:rsidRPr="009150AE">
        <w:rPr>
          <w:lang w:val="en-US"/>
        </w:rPr>
        <w:t>][1,4]diazepin-12(6a</w:t>
      </w:r>
      <w:r w:rsidRPr="009150AE">
        <w:rPr>
          <w:i/>
          <w:iCs/>
          <w:lang w:val="en-US"/>
        </w:rPr>
        <w:t>H</w:t>
      </w:r>
      <w:r w:rsidRPr="009150AE">
        <w:rPr>
          <w:lang w:val="en-US"/>
        </w:rPr>
        <w:t xml:space="preserve">)-ones type </w:t>
      </w:r>
      <w:r w:rsidRPr="009150AE">
        <w:rPr>
          <w:b/>
          <w:bCs/>
          <w:lang w:val="en-US"/>
        </w:rPr>
        <w:t>5</w:t>
      </w:r>
      <w:r w:rsidRPr="00E422F9">
        <w:rPr>
          <w:bCs/>
          <w:vertAlign w:val="superscript"/>
          <w:lang w:val="en-US"/>
        </w:rPr>
        <w:t>12</w:t>
      </w:r>
      <w:r w:rsidRPr="009150AE">
        <w:rPr>
          <w:lang w:val="en-US"/>
        </w:rPr>
        <w:t xml:space="preserve"> or analogues containing hydroxamic acid moiety </w:t>
      </w:r>
      <w:r w:rsidRPr="009150AE">
        <w:rPr>
          <w:b/>
          <w:bCs/>
          <w:lang w:val="en-US"/>
        </w:rPr>
        <w:t>6</w:t>
      </w:r>
      <w:r w:rsidRPr="00E422F9">
        <w:rPr>
          <w:bCs/>
          <w:lang w:val="en-US"/>
        </w:rPr>
        <w:t>,</w:t>
      </w:r>
      <w:r w:rsidRPr="00E422F9">
        <w:rPr>
          <w:bCs/>
          <w:vertAlign w:val="superscript"/>
          <w:lang w:val="en-US"/>
        </w:rPr>
        <w:t>13</w:t>
      </w:r>
      <w:r w:rsidRPr="009150AE">
        <w:rPr>
          <w:b/>
          <w:bCs/>
          <w:lang w:val="en-US"/>
        </w:rPr>
        <w:t xml:space="preserve"> </w:t>
      </w:r>
      <w:r w:rsidRPr="009150AE">
        <w:rPr>
          <w:lang w:val="en-US"/>
        </w:rPr>
        <w:t>could also bind to the calf thymus CT-DNA or exhibit</w:t>
      </w:r>
      <w:r>
        <w:rPr>
          <w:lang w:val="en-US"/>
        </w:rPr>
        <w:t xml:space="preserve"> </w:t>
      </w:r>
      <w:r w:rsidRPr="009150AE">
        <w:rPr>
          <w:lang w:val="en-US"/>
        </w:rPr>
        <w:t>promising anticancer activity against selected cell lines (PC-3, MCF-7). These results demonstrated that although alkylating group present on the benzodiazepine ring could facilitate binding of Anthramycin analogues to DNA, sometimes</w:t>
      </w:r>
      <w:r>
        <w:rPr>
          <w:lang w:val="en-US"/>
        </w:rPr>
        <w:t xml:space="preserve"> it</w:t>
      </w:r>
      <w:r w:rsidRPr="009150AE">
        <w:rPr>
          <w:lang w:val="en-US"/>
        </w:rPr>
        <w:t xml:space="preserve"> could be replaced by non-covalent interactions. Additionally, it was reported that structurally related Fuligocandin B (</w:t>
      </w:r>
      <w:r w:rsidRPr="009150AE">
        <w:rPr>
          <w:b/>
          <w:lang w:val="en-US"/>
        </w:rPr>
        <w:t>7</w:t>
      </w:r>
      <w:r w:rsidRPr="009150AE">
        <w:rPr>
          <w:lang w:val="en-US"/>
        </w:rPr>
        <w:t xml:space="preserve">), isolated in 2004 from the myxomycete </w:t>
      </w:r>
      <w:r w:rsidRPr="009150AE">
        <w:rPr>
          <w:i/>
          <w:lang w:val="en-US"/>
        </w:rPr>
        <w:t>Fuligo candida</w:t>
      </w:r>
      <w:r w:rsidRPr="00660050">
        <w:rPr>
          <w:lang w:val="en-US"/>
        </w:rPr>
        <w:t>,</w:t>
      </w:r>
      <w:r w:rsidRPr="002C0403">
        <w:rPr>
          <w:vertAlign w:val="superscript"/>
          <w:lang w:val="en-US"/>
        </w:rPr>
        <w:t xml:space="preserve"> </w:t>
      </w:r>
      <w:r>
        <w:rPr>
          <w:vertAlign w:val="superscript"/>
          <w:lang w:val="en-US"/>
        </w:rPr>
        <w:t>14</w:t>
      </w:r>
      <w:r w:rsidRPr="009150AE">
        <w:rPr>
          <w:lang w:val="en-US"/>
        </w:rPr>
        <w:t xml:space="preserve"> sensitizes leukemia cells to apoptosis induced by tumor necrosis factor–related apoptosis-inducing ligand (TRAIL).</w:t>
      </w:r>
      <w:r>
        <w:rPr>
          <w:vertAlign w:val="superscript"/>
          <w:lang w:val="en-US"/>
        </w:rPr>
        <w:t>15</w:t>
      </w:r>
    </w:p>
    <w:p w:rsidR="00AB7090" w:rsidRPr="009150AE" w:rsidRDefault="00AB7090" w:rsidP="00117300">
      <w:pPr>
        <w:tabs>
          <w:tab w:val="left" w:pos="5400"/>
        </w:tabs>
        <w:spacing w:line="360" w:lineRule="auto"/>
        <w:jc w:val="both"/>
        <w:rPr>
          <w:lang w:val="en-US"/>
        </w:rPr>
      </w:pPr>
      <w:r w:rsidRPr="009150AE">
        <w:rPr>
          <w:lang w:val="en-US"/>
        </w:rPr>
        <w:object w:dxaOrig="14835" w:dyaOrig="8325">
          <v:shape id="_x0000_i1026" type="#_x0000_t75" style="width:423pt;height:237.5pt" o:ole="">
            <v:imagedata r:id="rId9" o:title=""/>
          </v:shape>
          <o:OLEObject Type="Embed" ProgID="ISISServer" ShapeID="_x0000_i1026" DrawAspect="Content" ObjectID="_1577638292" r:id="rId10"/>
        </w:object>
      </w:r>
    </w:p>
    <w:p w:rsidR="00AB7090" w:rsidRPr="009150AE" w:rsidRDefault="00AB7090" w:rsidP="00117300">
      <w:pPr>
        <w:spacing w:line="360" w:lineRule="auto"/>
        <w:rPr>
          <w:b/>
          <w:lang w:val="en-US"/>
        </w:rPr>
      </w:pPr>
    </w:p>
    <w:p w:rsidR="00AB7090" w:rsidRPr="009150AE" w:rsidRDefault="00AB7090" w:rsidP="00117300">
      <w:pPr>
        <w:spacing w:line="360" w:lineRule="auto"/>
        <w:rPr>
          <w:bCs/>
          <w:lang w:val="en-US"/>
        </w:rPr>
      </w:pPr>
      <w:r w:rsidRPr="009150AE">
        <w:rPr>
          <w:b/>
          <w:lang w:val="en-US"/>
        </w:rPr>
        <w:t xml:space="preserve">Fig 1. </w:t>
      </w:r>
      <w:r w:rsidRPr="009150AE">
        <w:rPr>
          <w:bCs/>
          <w:lang w:val="en-US"/>
        </w:rPr>
        <w:t>Anthramycin (</w:t>
      </w:r>
      <w:r w:rsidRPr="009150AE">
        <w:rPr>
          <w:b/>
          <w:lang w:val="en-US"/>
        </w:rPr>
        <w:t>1</w:t>
      </w:r>
      <w:r w:rsidRPr="009150AE">
        <w:rPr>
          <w:bCs/>
          <w:lang w:val="en-US"/>
        </w:rPr>
        <w:t xml:space="preserve">) and its analogues </w:t>
      </w:r>
      <w:r w:rsidRPr="009150AE">
        <w:rPr>
          <w:b/>
          <w:lang w:val="en-US"/>
        </w:rPr>
        <w:t>2</w:t>
      </w:r>
      <w:r w:rsidRPr="009150AE">
        <w:rPr>
          <w:bCs/>
          <w:lang w:val="en-US"/>
        </w:rPr>
        <w:t>-</w:t>
      </w:r>
      <w:r w:rsidRPr="009150AE">
        <w:rPr>
          <w:b/>
          <w:lang w:val="en-US"/>
        </w:rPr>
        <w:t>8</w:t>
      </w:r>
    </w:p>
    <w:p w:rsidR="00AB7090" w:rsidRPr="009150AE" w:rsidRDefault="00AB7090" w:rsidP="00117300">
      <w:pPr>
        <w:spacing w:line="360" w:lineRule="auto"/>
        <w:rPr>
          <w:b/>
          <w:lang w:val="en-US"/>
        </w:rPr>
      </w:pPr>
    </w:p>
    <w:p w:rsidR="00AB7090" w:rsidRPr="007146C7" w:rsidRDefault="00AB7090" w:rsidP="00677D9C">
      <w:pPr>
        <w:spacing w:line="360" w:lineRule="auto"/>
        <w:ind w:firstLine="720"/>
        <w:jc w:val="both"/>
        <w:rPr>
          <w:lang w:val="en-US"/>
        </w:rPr>
      </w:pPr>
      <w:r w:rsidRPr="004847B5">
        <w:rPr>
          <w:lang w:val="en-US"/>
        </w:rPr>
        <w:t xml:space="preserve">During our research </w:t>
      </w:r>
      <w:r>
        <w:rPr>
          <w:lang w:val="en-US"/>
        </w:rPr>
        <w:t xml:space="preserve">on the design and discovery of novel anticancer compounds based on diverse heterocyclic structures, such as </w:t>
      </w:r>
      <w:r w:rsidRPr="004847B5">
        <w:rPr>
          <w:bCs/>
          <w:lang w:val="en-US"/>
        </w:rPr>
        <w:t>6</w:t>
      </w:r>
      <w:r w:rsidRPr="004847B5">
        <w:rPr>
          <w:bCs/>
          <w:i/>
          <w:iCs/>
          <w:lang w:val="en-US"/>
        </w:rPr>
        <w:t>H</w:t>
      </w:r>
      <w:r w:rsidRPr="004847B5">
        <w:rPr>
          <w:bCs/>
          <w:lang w:val="en-US"/>
        </w:rPr>
        <w:t>-</w:t>
      </w:r>
      <w:r>
        <w:rPr>
          <w:bCs/>
          <w:lang w:val="en-US"/>
        </w:rPr>
        <w:t>o</w:t>
      </w:r>
      <w:r w:rsidRPr="004847B5">
        <w:rPr>
          <w:bCs/>
          <w:lang w:val="en-US"/>
        </w:rPr>
        <w:t>xazolo[3,2-</w:t>
      </w:r>
      <w:r w:rsidRPr="004847B5">
        <w:rPr>
          <w:bCs/>
          <w:i/>
          <w:iCs/>
          <w:lang w:val="en-US"/>
        </w:rPr>
        <w:t>f</w:t>
      </w:r>
      <w:r w:rsidRPr="004847B5">
        <w:rPr>
          <w:bCs/>
          <w:lang w:val="en-US"/>
        </w:rPr>
        <w:t>]pyrimidine-5,7-dione</w:t>
      </w:r>
      <w:r>
        <w:rPr>
          <w:bCs/>
          <w:lang w:val="en-US"/>
        </w:rPr>
        <w:t>,</w:t>
      </w:r>
      <w:r>
        <w:rPr>
          <w:bCs/>
          <w:vertAlign w:val="superscript"/>
          <w:lang w:val="en-US"/>
        </w:rPr>
        <w:t>16</w:t>
      </w:r>
      <w:r w:rsidRPr="004847B5">
        <w:rPr>
          <w:rStyle w:val="EndnoteReference"/>
          <w:lang w:val="en-GB"/>
        </w:rPr>
        <w:t xml:space="preserve"> </w:t>
      </w:r>
      <w:r w:rsidRPr="009E2F15">
        <w:rPr>
          <w:color w:val="FF0000"/>
          <w:lang w:val="en-US"/>
        </w:rPr>
        <w:t xml:space="preserve"> </w:t>
      </w:r>
      <w:r w:rsidRPr="004847B5">
        <w:rPr>
          <w:bCs/>
          <w:lang w:val="en-US"/>
        </w:rPr>
        <w:t>3</w:t>
      </w:r>
      <w:r w:rsidRPr="004847B5">
        <w:rPr>
          <w:bCs/>
          <w:i/>
          <w:iCs/>
          <w:lang w:val="en-US"/>
        </w:rPr>
        <w:t>H</w:t>
      </w:r>
      <w:r w:rsidRPr="004847B5">
        <w:rPr>
          <w:bCs/>
          <w:lang w:val="en-US"/>
        </w:rPr>
        <w:t>-pyrrolo[2,3-</w:t>
      </w:r>
      <w:r w:rsidRPr="004847B5">
        <w:rPr>
          <w:bCs/>
          <w:i/>
          <w:iCs/>
          <w:lang w:val="en-US"/>
        </w:rPr>
        <w:t>d</w:t>
      </w:r>
      <w:r w:rsidRPr="004847B5">
        <w:rPr>
          <w:bCs/>
          <w:lang w:val="en-US"/>
        </w:rPr>
        <w:t>]pyrimidin-2(7</w:t>
      </w:r>
      <w:r w:rsidRPr="004847B5">
        <w:rPr>
          <w:bCs/>
          <w:i/>
          <w:iCs/>
          <w:lang w:val="en-US"/>
        </w:rPr>
        <w:t>H</w:t>
      </w:r>
      <w:r w:rsidRPr="004847B5">
        <w:rPr>
          <w:bCs/>
          <w:lang w:val="en-US"/>
        </w:rPr>
        <w:t>)-one,</w:t>
      </w:r>
      <w:r>
        <w:rPr>
          <w:bCs/>
          <w:vertAlign w:val="superscript"/>
          <w:lang w:val="en-US"/>
        </w:rPr>
        <w:t>17,18</w:t>
      </w:r>
      <w:r w:rsidRPr="004847B5">
        <w:rPr>
          <w:bCs/>
          <w:lang w:val="en-US"/>
        </w:rPr>
        <w:t xml:space="preserve"> </w:t>
      </w:r>
      <w:r w:rsidRPr="004847B5">
        <w:rPr>
          <w:lang w:val="en-US"/>
        </w:rPr>
        <w:t>furo[2,3-d]</w:t>
      </w:r>
      <w:r w:rsidRPr="00985D67">
        <w:rPr>
          <w:lang w:val="en-US"/>
        </w:rPr>
        <w:t>pyrimidin-2(3H)-one,</w:t>
      </w:r>
      <w:r>
        <w:rPr>
          <w:vertAlign w:val="superscript"/>
          <w:lang w:val="en-US"/>
        </w:rPr>
        <w:t>18</w:t>
      </w:r>
      <w:r w:rsidRPr="00985D67">
        <w:rPr>
          <w:lang w:val="en-US"/>
        </w:rPr>
        <w:t xml:space="preserve"> 5,6-dihydropyrimido[4,5-c]pyridazin-7(8H)-one</w:t>
      </w:r>
      <w:r w:rsidRPr="005C674C">
        <w:rPr>
          <w:vertAlign w:val="superscript"/>
          <w:lang w:val="en-US"/>
        </w:rPr>
        <w:t>18</w:t>
      </w:r>
      <w:r w:rsidRPr="00985D67">
        <w:rPr>
          <w:bCs/>
          <w:lang w:val="en-US"/>
        </w:rPr>
        <w:t xml:space="preserve"> and purine</w:t>
      </w:r>
      <w:r>
        <w:rPr>
          <w:bCs/>
          <w:vertAlign w:val="superscript"/>
          <w:lang w:val="en-US"/>
        </w:rPr>
        <w:t>19</w:t>
      </w:r>
      <w:r w:rsidRPr="00985D67">
        <w:rPr>
          <w:bCs/>
          <w:lang w:val="en-US"/>
        </w:rPr>
        <w:t xml:space="preserve"> scaffold,</w:t>
      </w:r>
      <w:r w:rsidRPr="00985D67">
        <w:rPr>
          <w:lang w:val="en-US"/>
        </w:rPr>
        <w:t xml:space="preserve"> we envisioned</w:t>
      </w:r>
      <w:r w:rsidRPr="004847B5">
        <w:rPr>
          <w:lang w:val="en-US"/>
        </w:rPr>
        <w:t xml:space="preserve"> </w:t>
      </w:r>
      <w:r>
        <w:rPr>
          <w:lang w:val="en-US"/>
        </w:rPr>
        <w:t xml:space="preserve">a </w:t>
      </w:r>
      <w:r w:rsidRPr="004847B5">
        <w:rPr>
          <w:lang w:val="en-US"/>
        </w:rPr>
        <w:t>possible synthesis of novel</w:t>
      </w:r>
      <w:r>
        <w:rPr>
          <w:lang w:val="en-US"/>
        </w:rPr>
        <w:t>,</w:t>
      </w:r>
      <w:r w:rsidRPr="004847B5">
        <w:rPr>
          <w:lang w:val="en-US"/>
        </w:rPr>
        <w:t xml:space="preserve"> </w:t>
      </w:r>
      <w:r>
        <w:rPr>
          <w:lang w:val="en-US"/>
        </w:rPr>
        <w:t>anticancer anthramycin</w:t>
      </w:r>
      <w:r w:rsidRPr="004847B5">
        <w:rPr>
          <w:lang w:val="en-US"/>
        </w:rPr>
        <w:t xml:space="preserve"> analogues</w:t>
      </w:r>
      <w:r>
        <w:rPr>
          <w:lang w:val="en-US"/>
        </w:rPr>
        <w:t>,</w:t>
      </w:r>
      <w:r w:rsidRPr="004847B5">
        <w:rPr>
          <w:lang w:val="en-US"/>
        </w:rPr>
        <w:t xml:space="preserve"> </w:t>
      </w:r>
      <w:r>
        <w:rPr>
          <w:lang w:val="en-US"/>
        </w:rPr>
        <w:t>possessing a fused piperazine ring instead of a pyrrole ring (</w:t>
      </w:r>
      <w:r w:rsidRPr="0048417C">
        <w:rPr>
          <w:b/>
          <w:lang w:val="en-US"/>
        </w:rPr>
        <w:t>8</w:t>
      </w:r>
      <w:r>
        <w:rPr>
          <w:lang w:val="en-US"/>
        </w:rPr>
        <w:t>, Fig. 1). This idea was partially inspired by our previous reports, concerning solid-phase syntheses of novel, rigid, bi- and tricyclic mimetics of peptide β-turn.</w:t>
      </w:r>
      <w:r>
        <w:rPr>
          <w:vertAlign w:val="superscript"/>
          <w:lang w:val="en-US"/>
        </w:rPr>
        <w:t>20,21</w:t>
      </w:r>
      <w:r>
        <w:rPr>
          <w:color w:val="FF0000"/>
          <w:lang w:val="en-GB"/>
        </w:rPr>
        <w:t xml:space="preserve"> </w:t>
      </w:r>
      <w:r>
        <w:rPr>
          <w:lang w:val="en-GB"/>
        </w:rPr>
        <w:t xml:space="preserve">As the solid-phase synthesis possess several disadvantages, including difficulties in scaling-up the synthesis and tracking reaction progress, we decided to develop a solution-phase synthesis of anthramycin analogues, starting from optically pure </w:t>
      </w:r>
      <w:r w:rsidRPr="00295F85">
        <w:rPr>
          <w:bCs/>
          <w:lang w:val="en-US"/>
        </w:rPr>
        <w:t>(</w:t>
      </w:r>
      <w:r w:rsidRPr="00295F85">
        <w:rPr>
          <w:bCs/>
          <w:i/>
          <w:lang w:val="en-US"/>
        </w:rPr>
        <w:t>S</w:t>
      </w:r>
      <w:r w:rsidRPr="00295F85">
        <w:rPr>
          <w:bCs/>
          <w:lang w:val="en-US"/>
        </w:rPr>
        <w:t>)-2-piperazinecarboxylic acid dihydrochloride</w:t>
      </w:r>
      <w:r>
        <w:rPr>
          <w:bCs/>
          <w:lang w:val="en-US"/>
        </w:rPr>
        <w:t xml:space="preserve"> (</w:t>
      </w:r>
      <w:r>
        <w:rPr>
          <w:b/>
          <w:bCs/>
          <w:lang w:val="en-US"/>
        </w:rPr>
        <w:t>9a</w:t>
      </w:r>
      <w:r>
        <w:rPr>
          <w:bCs/>
          <w:lang w:val="en-US"/>
        </w:rPr>
        <w:t xml:space="preserve">) (Scheme 1). </w:t>
      </w:r>
    </w:p>
    <w:p w:rsidR="00AB7090" w:rsidRPr="009150AE" w:rsidRDefault="00AB7090" w:rsidP="00117300">
      <w:pPr>
        <w:spacing w:line="360" w:lineRule="auto"/>
        <w:jc w:val="center"/>
        <w:rPr>
          <w:lang w:val="en-US"/>
        </w:rPr>
      </w:pPr>
      <w:r w:rsidRPr="009150AE">
        <w:rPr>
          <w:lang w:val="en-US"/>
        </w:rPr>
        <w:object w:dxaOrig="10065" w:dyaOrig="11775">
          <v:shape id="_x0000_i1027" type="#_x0000_t75" style="width:412.5pt;height:483pt" o:ole="">
            <v:imagedata r:id="rId11" o:title=""/>
          </v:shape>
          <o:OLEObject Type="Embed" ProgID="ISISServer" ShapeID="_x0000_i1027" DrawAspect="Content" ObjectID="_1577638293" r:id="rId12"/>
        </w:object>
      </w:r>
    </w:p>
    <w:p w:rsidR="00AB7090" w:rsidRPr="009150AE" w:rsidRDefault="00AB7090" w:rsidP="00117300">
      <w:pPr>
        <w:spacing w:line="360" w:lineRule="auto"/>
        <w:jc w:val="both"/>
        <w:rPr>
          <w:b/>
          <w:bCs/>
          <w:lang w:val="en-US"/>
        </w:rPr>
      </w:pPr>
    </w:p>
    <w:p w:rsidR="00AB7090" w:rsidRDefault="00AB7090" w:rsidP="00117300">
      <w:pPr>
        <w:spacing w:line="360" w:lineRule="auto"/>
        <w:jc w:val="both"/>
        <w:rPr>
          <w:iCs/>
          <w:lang w:val="en-US"/>
        </w:rPr>
      </w:pPr>
      <w:r w:rsidRPr="009150AE">
        <w:rPr>
          <w:b/>
          <w:bCs/>
          <w:lang w:val="en-US"/>
        </w:rPr>
        <w:t>Scheme 1.</w:t>
      </w:r>
      <w:r w:rsidRPr="009150AE">
        <w:rPr>
          <w:lang w:val="en-US"/>
        </w:rPr>
        <w:t xml:space="preserve"> </w:t>
      </w:r>
      <w:r w:rsidRPr="009150AE">
        <w:rPr>
          <w:iCs/>
          <w:lang w:val="en-US"/>
        </w:rPr>
        <w:t>The synthesis of (</w:t>
      </w:r>
      <w:r w:rsidRPr="009150AE">
        <w:rPr>
          <w:i/>
          <w:iCs/>
          <w:lang w:val="en-US"/>
        </w:rPr>
        <w:t>S</w:t>
      </w:r>
      <w:r w:rsidRPr="009150AE">
        <w:rPr>
          <w:iCs/>
          <w:lang w:val="en-US"/>
        </w:rPr>
        <w:t xml:space="preserve">)-enantiomers of </w:t>
      </w:r>
      <w:r>
        <w:rPr>
          <w:iCs/>
          <w:lang w:val="en-US"/>
        </w:rPr>
        <w:t>a</w:t>
      </w:r>
      <w:r w:rsidRPr="009150AE">
        <w:rPr>
          <w:iCs/>
          <w:lang w:val="en-US"/>
        </w:rPr>
        <w:t>nthramycin analogues</w:t>
      </w:r>
    </w:p>
    <w:p w:rsidR="00AB7090" w:rsidRPr="009150AE" w:rsidRDefault="00AB7090" w:rsidP="00117300">
      <w:pPr>
        <w:spacing w:line="360" w:lineRule="auto"/>
        <w:jc w:val="both"/>
        <w:rPr>
          <w:iCs/>
          <w:lang w:val="en-US"/>
        </w:rPr>
      </w:pPr>
    </w:p>
    <w:p w:rsidR="00AB7090" w:rsidRPr="00A00990" w:rsidRDefault="00AB7090" w:rsidP="00677D9C">
      <w:pPr>
        <w:spacing w:line="360" w:lineRule="auto"/>
        <w:ind w:firstLine="720"/>
        <w:jc w:val="both"/>
        <w:rPr>
          <w:lang w:val="en-US"/>
        </w:rPr>
      </w:pPr>
      <w:r>
        <w:rPr>
          <w:bCs/>
          <w:lang w:val="en-US"/>
        </w:rPr>
        <w:t xml:space="preserve">After several attempts, we found that </w:t>
      </w:r>
      <w:r w:rsidRPr="00DE1B28">
        <w:rPr>
          <w:b/>
          <w:bCs/>
          <w:lang w:val="en-US"/>
        </w:rPr>
        <w:t>9a</w:t>
      </w:r>
      <w:r>
        <w:rPr>
          <w:bCs/>
          <w:lang w:val="en-US"/>
        </w:rPr>
        <w:t xml:space="preserve"> dissolved in the dioxane-water mixture, in the presence of 2 eq. of sodium hydroxide, reacts with acyl chlorides, giving predominantly  </w:t>
      </w:r>
      <w:r w:rsidRPr="00DE1B28">
        <w:rPr>
          <w:lang w:val="en-US"/>
        </w:rPr>
        <w:t>(</w:t>
      </w:r>
      <w:r w:rsidRPr="00DE1B28">
        <w:rPr>
          <w:i/>
          <w:lang w:val="en-US"/>
        </w:rPr>
        <w:t>S</w:t>
      </w:r>
      <w:r w:rsidRPr="00DE1B28">
        <w:rPr>
          <w:lang w:val="en-US"/>
        </w:rPr>
        <w:t>)-4-</w:t>
      </w:r>
      <w:r>
        <w:rPr>
          <w:lang w:val="en-US"/>
        </w:rPr>
        <w:t>acyl-</w:t>
      </w:r>
      <w:r w:rsidRPr="00DE1B28">
        <w:rPr>
          <w:lang w:val="en-US"/>
        </w:rPr>
        <w:t>piperazine-2-carboxylic acid</w:t>
      </w:r>
      <w:r>
        <w:rPr>
          <w:lang w:val="en-US"/>
        </w:rPr>
        <w:t xml:space="preserve">s </w:t>
      </w:r>
      <w:r w:rsidRPr="00DE1B28">
        <w:rPr>
          <w:b/>
          <w:lang w:val="en-US"/>
        </w:rPr>
        <w:t>10a-</w:t>
      </w:r>
      <w:r>
        <w:rPr>
          <w:b/>
          <w:lang w:val="en-US"/>
        </w:rPr>
        <w:t>e</w:t>
      </w:r>
      <w:r>
        <w:rPr>
          <w:lang w:val="en-US"/>
        </w:rPr>
        <w:t xml:space="preserve">. In a similar manner, </w:t>
      </w:r>
      <w:r w:rsidRPr="00DE1B28">
        <w:rPr>
          <w:lang w:val="en-US"/>
        </w:rPr>
        <w:t>(</w:t>
      </w:r>
      <w:r>
        <w:rPr>
          <w:i/>
          <w:lang w:val="en-US"/>
        </w:rPr>
        <w:t>R</w:t>
      </w:r>
      <w:r w:rsidRPr="00DE1B28">
        <w:rPr>
          <w:lang w:val="en-US"/>
        </w:rPr>
        <w:t>)-4-</w:t>
      </w:r>
      <w:r>
        <w:rPr>
          <w:lang w:val="en-US"/>
        </w:rPr>
        <w:t>acyl-</w:t>
      </w:r>
      <w:r w:rsidRPr="00DE1B28">
        <w:rPr>
          <w:lang w:val="en-US"/>
        </w:rPr>
        <w:t>piperazine-2-carboxylic acid</w:t>
      </w:r>
      <w:r>
        <w:rPr>
          <w:lang w:val="en-US"/>
        </w:rPr>
        <w:t xml:space="preserve">s </w:t>
      </w:r>
      <w:r w:rsidRPr="00DE1B28">
        <w:rPr>
          <w:b/>
          <w:lang w:val="en-US"/>
        </w:rPr>
        <w:t>10</w:t>
      </w:r>
      <w:r>
        <w:rPr>
          <w:b/>
          <w:lang w:val="en-US"/>
        </w:rPr>
        <w:t>f</w:t>
      </w:r>
      <w:r w:rsidRPr="00DE1B28">
        <w:rPr>
          <w:b/>
          <w:lang w:val="en-US"/>
        </w:rPr>
        <w:t>-</w:t>
      </w:r>
      <w:r>
        <w:rPr>
          <w:b/>
          <w:lang w:val="en-US"/>
        </w:rPr>
        <w:t>i</w:t>
      </w:r>
      <w:r>
        <w:rPr>
          <w:lang w:val="en-US"/>
        </w:rPr>
        <w:t xml:space="preserve"> were synthesized from </w:t>
      </w:r>
      <w:r w:rsidRPr="00295F85">
        <w:rPr>
          <w:bCs/>
          <w:lang w:val="en-US"/>
        </w:rPr>
        <w:t>(</w:t>
      </w:r>
      <w:r>
        <w:rPr>
          <w:bCs/>
          <w:i/>
          <w:lang w:val="en-US"/>
        </w:rPr>
        <w:t>R</w:t>
      </w:r>
      <w:r w:rsidRPr="00295F85">
        <w:rPr>
          <w:bCs/>
          <w:lang w:val="en-US"/>
        </w:rPr>
        <w:t>)-2-piperazinecarboxylic acid dihydrochloride</w:t>
      </w:r>
      <w:r>
        <w:rPr>
          <w:bCs/>
          <w:lang w:val="en-US"/>
        </w:rPr>
        <w:t xml:space="preserve"> (</w:t>
      </w:r>
      <w:r>
        <w:rPr>
          <w:b/>
          <w:bCs/>
          <w:lang w:val="en-US"/>
        </w:rPr>
        <w:t>9b</w:t>
      </w:r>
      <w:r>
        <w:rPr>
          <w:bCs/>
          <w:lang w:val="en-US"/>
        </w:rPr>
        <w:t xml:space="preserve">) (Scheme 2). Intermediates </w:t>
      </w:r>
      <w:r w:rsidRPr="00DE1B28">
        <w:rPr>
          <w:b/>
          <w:bCs/>
          <w:lang w:val="en-US"/>
        </w:rPr>
        <w:t>10a-i</w:t>
      </w:r>
      <w:r>
        <w:rPr>
          <w:bCs/>
          <w:lang w:val="en-US"/>
        </w:rPr>
        <w:t xml:space="preserve"> were then directly treated with an excess of isatoic anhydrides, in the presence of sodium carbonate as a base, which resulted in the formation of </w:t>
      </w:r>
      <w:r w:rsidRPr="00DE1B28">
        <w:rPr>
          <w:lang w:val="en-US"/>
        </w:rPr>
        <w:t>(</w:t>
      </w:r>
      <w:r>
        <w:rPr>
          <w:i/>
          <w:lang w:val="en-US"/>
        </w:rPr>
        <w:t>R</w:t>
      </w:r>
      <w:r>
        <w:rPr>
          <w:lang w:val="en-US"/>
        </w:rPr>
        <w:t>)-/</w:t>
      </w:r>
      <w:r w:rsidRPr="00DE1B28">
        <w:rPr>
          <w:lang w:val="en-US"/>
        </w:rPr>
        <w:t>(</w:t>
      </w:r>
      <w:r w:rsidRPr="00DE1B28">
        <w:rPr>
          <w:i/>
          <w:lang w:val="en-US"/>
        </w:rPr>
        <w:t>S</w:t>
      </w:r>
      <w:r w:rsidRPr="00DE1B28">
        <w:rPr>
          <w:lang w:val="en-US"/>
        </w:rPr>
        <w:t>)-1-(2-aminobenzoyl)-4-</w:t>
      </w:r>
      <w:r>
        <w:rPr>
          <w:lang w:val="en-US"/>
        </w:rPr>
        <w:t>acyl-</w:t>
      </w:r>
      <w:r w:rsidRPr="00DE1B28">
        <w:rPr>
          <w:lang w:val="en-US"/>
        </w:rPr>
        <w:t>piperazine-2-carboxylic acid</w:t>
      </w:r>
      <w:r>
        <w:rPr>
          <w:lang w:val="en-US"/>
        </w:rPr>
        <w:t xml:space="preserve">s </w:t>
      </w:r>
      <w:r w:rsidRPr="003E7925">
        <w:rPr>
          <w:b/>
          <w:lang w:val="en-US"/>
        </w:rPr>
        <w:t>11a-k</w:t>
      </w:r>
      <w:r>
        <w:rPr>
          <w:lang w:val="en-US"/>
        </w:rPr>
        <w:t xml:space="preserve"> (Schemes 1,2). The final cyclization step, leading to the tricyclic dilactam scaffold </w:t>
      </w:r>
      <w:r w:rsidRPr="00B233FF">
        <w:rPr>
          <w:b/>
          <w:lang w:val="en-US"/>
        </w:rPr>
        <w:t>8</w:t>
      </w:r>
      <w:r w:rsidRPr="00660050">
        <w:rPr>
          <w:lang w:val="en-US"/>
        </w:rPr>
        <w:t>,</w:t>
      </w:r>
      <w:r>
        <w:rPr>
          <w:lang w:val="en-US"/>
        </w:rPr>
        <w:t xml:space="preserve"> was performed with HATU, in the presence of DIPEA as a base.</w:t>
      </w:r>
    </w:p>
    <w:p w:rsidR="00AB7090" w:rsidRPr="00A00990" w:rsidRDefault="00AB7090" w:rsidP="00117300">
      <w:pPr>
        <w:spacing w:line="360" w:lineRule="auto"/>
        <w:jc w:val="both"/>
        <w:rPr>
          <w:lang w:val="en-US"/>
        </w:rPr>
      </w:pPr>
      <w:r>
        <w:object w:dxaOrig="10065" w:dyaOrig="10935">
          <v:shape id="_x0000_i1028" type="#_x0000_t75" style="width:438pt;height:475.5pt" o:ole="">
            <v:imagedata r:id="rId13" o:title=""/>
          </v:shape>
          <o:OLEObject Type="Embed" ProgID="ISISServer" ShapeID="_x0000_i1028" DrawAspect="Content" ObjectID="_1577638294" r:id="rId14"/>
        </w:object>
      </w:r>
    </w:p>
    <w:p w:rsidR="00AB7090" w:rsidRDefault="00AB7090" w:rsidP="00117300">
      <w:pPr>
        <w:spacing w:line="360" w:lineRule="auto"/>
        <w:jc w:val="both"/>
        <w:rPr>
          <w:iCs/>
          <w:lang w:val="en-US"/>
        </w:rPr>
      </w:pPr>
      <w:r w:rsidRPr="009150AE">
        <w:rPr>
          <w:b/>
          <w:bCs/>
          <w:lang w:val="en-US"/>
        </w:rPr>
        <w:t>Scheme 2.</w:t>
      </w:r>
      <w:r w:rsidRPr="009150AE">
        <w:rPr>
          <w:lang w:val="en-US"/>
        </w:rPr>
        <w:t xml:space="preserve"> </w:t>
      </w:r>
      <w:r w:rsidRPr="009150AE">
        <w:rPr>
          <w:iCs/>
          <w:lang w:val="en-US"/>
        </w:rPr>
        <w:t>The synthesis of (</w:t>
      </w:r>
      <w:r w:rsidRPr="009150AE">
        <w:rPr>
          <w:i/>
          <w:iCs/>
          <w:lang w:val="en-US"/>
        </w:rPr>
        <w:t>R</w:t>
      </w:r>
      <w:r w:rsidRPr="009150AE">
        <w:rPr>
          <w:iCs/>
          <w:lang w:val="en-US"/>
        </w:rPr>
        <w:t>)-enantiomers of Anthramycin analogues</w:t>
      </w:r>
    </w:p>
    <w:p w:rsidR="00AB7090" w:rsidRDefault="00AB7090" w:rsidP="00117300">
      <w:pPr>
        <w:spacing w:line="360" w:lineRule="auto"/>
        <w:jc w:val="both"/>
        <w:rPr>
          <w:iCs/>
          <w:lang w:val="en-US"/>
        </w:rPr>
      </w:pPr>
    </w:p>
    <w:p w:rsidR="00AB7090" w:rsidRPr="009F469F" w:rsidRDefault="00AB7090" w:rsidP="00677D9C">
      <w:pPr>
        <w:spacing w:line="360" w:lineRule="auto"/>
        <w:ind w:firstLine="720"/>
        <w:jc w:val="both"/>
        <w:rPr>
          <w:bCs/>
          <w:lang w:val="en-US"/>
        </w:rPr>
      </w:pPr>
      <w:r>
        <w:rPr>
          <w:lang w:val="en-US"/>
        </w:rPr>
        <w:t xml:space="preserve">In further structure-activity relationships studies, the lactam ring of </w:t>
      </w:r>
      <w:r w:rsidRPr="00B233FF">
        <w:rPr>
          <w:b/>
          <w:lang w:val="en-US"/>
        </w:rPr>
        <w:t>8e</w:t>
      </w:r>
      <w:r>
        <w:rPr>
          <w:lang w:val="en-US"/>
        </w:rPr>
        <w:t xml:space="preserve"> was alkylated with methyl iodide, benzyl bromide, and benzyl bromoacetate, in the presence of potassium carbonate, which led to the </w:t>
      </w:r>
      <w:r w:rsidRPr="00B233FF">
        <w:rPr>
          <w:i/>
          <w:lang w:val="en-US"/>
        </w:rPr>
        <w:t>N</w:t>
      </w:r>
      <w:r>
        <w:rPr>
          <w:lang w:val="en-US"/>
        </w:rPr>
        <w:t xml:space="preserve">-alkylated derivatives </w:t>
      </w:r>
      <w:r w:rsidRPr="00DA1F6B">
        <w:rPr>
          <w:b/>
          <w:lang w:val="en-US"/>
        </w:rPr>
        <w:t>8l-8n</w:t>
      </w:r>
      <w:r>
        <w:rPr>
          <w:lang w:val="en-US"/>
        </w:rPr>
        <w:t xml:space="preserve">. The benzyl group in derivative </w:t>
      </w:r>
      <w:r w:rsidRPr="00DA1F6B">
        <w:rPr>
          <w:b/>
          <w:lang w:val="en-US"/>
        </w:rPr>
        <w:t>8n</w:t>
      </w:r>
      <w:r>
        <w:rPr>
          <w:lang w:val="en-US"/>
        </w:rPr>
        <w:t xml:space="preserve"> was removed in hydrogenation reaction, giving </w:t>
      </w:r>
      <w:r w:rsidRPr="009F469F">
        <w:rPr>
          <w:i/>
          <w:lang w:val="en-US"/>
        </w:rPr>
        <w:t>N</w:t>
      </w:r>
      <w:r>
        <w:rPr>
          <w:lang w:val="en-US"/>
        </w:rPr>
        <w:t xml:space="preserve">-methylocarboxyl substituted product </w:t>
      </w:r>
      <w:r w:rsidRPr="00DA1F6B">
        <w:rPr>
          <w:b/>
          <w:lang w:val="en-US"/>
        </w:rPr>
        <w:t>8o</w:t>
      </w:r>
      <w:r>
        <w:rPr>
          <w:lang w:val="en-US"/>
        </w:rPr>
        <w:t>.</w:t>
      </w:r>
    </w:p>
    <w:p w:rsidR="00AB7090" w:rsidRPr="009150AE" w:rsidRDefault="00AB7090" w:rsidP="00117300">
      <w:pPr>
        <w:spacing w:line="360" w:lineRule="auto"/>
        <w:jc w:val="center"/>
        <w:rPr>
          <w:iCs/>
          <w:lang w:val="en-US"/>
        </w:rPr>
      </w:pPr>
      <w:r w:rsidRPr="009150AE">
        <w:rPr>
          <w:lang w:val="en-US"/>
        </w:rPr>
        <w:object w:dxaOrig="13845" w:dyaOrig="3840">
          <v:shape id="_x0000_i1029" type="#_x0000_t75" style="width:443pt;height:125pt" o:ole="">
            <v:imagedata r:id="rId15" o:title=""/>
          </v:shape>
          <o:OLEObject Type="Embed" ProgID="ISISServer" ShapeID="_x0000_i1029" DrawAspect="Content" ObjectID="_1577638295" r:id="rId16"/>
        </w:object>
      </w:r>
    </w:p>
    <w:p w:rsidR="00AB7090" w:rsidRDefault="00AB7090" w:rsidP="00117300">
      <w:pPr>
        <w:spacing w:line="360" w:lineRule="auto"/>
        <w:rPr>
          <w:b/>
          <w:iCs/>
          <w:lang w:val="en-US"/>
        </w:rPr>
      </w:pPr>
      <w:r w:rsidRPr="009150AE">
        <w:rPr>
          <w:b/>
          <w:bCs/>
          <w:lang w:val="en-US"/>
        </w:rPr>
        <w:t>Scheme 3.</w:t>
      </w:r>
      <w:r w:rsidRPr="009150AE">
        <w:rPr>
          <w:lang w:val="en-US"/>
        </w:rPr>
        <w:t xml:space="preserve"> </w:t>
      </w:r>
      <w:r w:rsidRPr="009150AE">
        <w:rPr>
          <w:iCs/>
          <w:lang w:val="en-US"/>
        </w:rPr>
        <w:t xml:space="preserve">The alkylation of dilactam </w:t>
      </w:r>
      <w:r>
        <w:rPr>
          <w:b/>
          <w:iCs/>
          <w:lang w:val="en-US"/>
        </w:rPr>
        <w:t>8</w:t>
      </w:r>
      <w:r w:rsidRPr="009150AE">
        <w:rPr>
          <w:b/>
          <w:iCs/>
          <w:lang w:val="en-US"/>
        </w:rPr>
        <w:t>e</w:t>
      </w:r>
    </w:p>
    <w:p w:rsidR="00AB7090" w:rsidRDefault="00AB7090" w:rsidP="00117300">
      <w:pPr>
        <w:spacing w:line="360" w:lineRule="auto"/>
        <w:rPr>
          <w:b/>
          <w:iCs/>
          <w:lang w:val="en-US"/>
        </w:rPr>
      </w:pPr>
    </w:p>
    <w:p w:rsidR="00AB7090" w:rsidRPr="00592998" w:rsidRDefault="00AB7090" w:rsidP="00325B7F">
      <w:pPr>
        <w:pStyle w:val="TAMainText"/>
        <w:spacing w:line="360" w:lineRule="auto"/>
        <w:rPr>
          <w:sz w:val="24"/>
          <w:szCs w:val="24"/>
        </w:rPr>
      </w:pPr>
      <w:r w:rsidRPr="00592998">
        <w:rPr>
          <w:iCs/>
          <w:sz w:val="24"/>
          <w:szCs w:val="24"/>
        </w:rPr>
        <w:t xml:space="preserve">The structure of synthesized compounds was confirmed by detailed NMR spectra analysis (1H, 13C, dept135, COSY, HSQC, HMBC and temperature spectra) and crystallographic methods. In general, </w:t>
      </w:r>
      <w:r>
        <w:rPr>
          <w:iCs/>
          <w:sz w:val="24"/>
          <w:szCs w:val="24"/>
        </w:rPr>
        <w:t xml:space="preserve">the </w:t>
      </w:r>
      <w:r w:rsidRPr="00592998">
        <w:rPr>
          <w:iCs/>
          <w:sz w:val="24"/>
          <w:szCs w:val="24"/>
        </w:rPr>
        <w:t>obt</w:t>
      </w:r>
      <w:r>
        <w:rPr>
          <w:iCs/>
          <w:sz w:val="24"/>
          <w:szCs w:val="24"/>
        </w:rPr>
        <w:t>ained anthramycin analogs exist</w:t>
      </w:r>
      <w:r w:rsidRPr="00592998">
        <w:rPr>
          <w:iCs/>
          <w:sz w:val="24"/>
          <w:szCs w:val="24"/>
        </w:rPr>
        <w:t xml:space="preserve"> in two interconvertible conformations in deuterated DMSO solution</w:t>
      </w:r>
      <w:r>
        <w:rPr>
          <w:iCs/>
          <w:sz w:val="24"/>
          <w:szCs w:val="24"/>
        </w:rPr>
        <w:t>,</w:t>
      </w:r>
      <w:r w:rsidRPr="00592998">
        <w:rPr>
          <w:iCs/>
          <w:sz w:val="24"/>
          <w:szCs w:val="24"/>
        </w:rPr>
        <w:t xml:space="preserve"> which resulted in two sets of signals. This dynamic system and vibrations of the molecule in the solution</w:t>
      </w:r>
      <w:r>
        <w:rPr>
          <w:iCs/>
          <w:sz w:val="24"/>
          <w:szCs w:val="24"/>
        </w:rPr>
        <w:t>,</w:t>
      </w:r>
      <w:r w:rsidRPr="00592998">
        <w:rPr>
          <w:iCs/>
          <w:sz w:val="24"/>
          <w:szCs w:val="24"/>
        </w:rPr>
        <w:t xml:space="preserve"> together with the </w:t>
      </w:r>
      <w:r w:rsidRPr="00592998">
        <w:rPr>
          <w:bCs/>
          <w:sz w:val="24"/>
          <w:szCs w:val="24"/>
        </w:rPr>
        <w:t>presence of axial and equatorial, magnetically non-equivalent hydrogens in three methylene groups of piperazine ring</w:t>
      </w:r>
      <w:r>
        <w:rPr>
          <w:bCs/>
          <w:sz w:val="24"/>
          <w:szCs w:val="24"/>
        </w:rPr>
        <w:t>,</w:t>
      </w:r>
      <w:r w:rsidRPr="00592998">
        <w:rPr>
          <w:bCs/>
          <w:sz w:val="24"/>
          <w:szCs w:val="24"/>
        </w:rPr>
        <w:t xml:space="preserve"> resulted in the extension of signal bands observed as complex multiplexes in both aliphatic and aromatic part of </w:t>
      </w:r>
      <w:r>
        <w:rPr>
          <w:bCs/>
          <w:sz w:val="24"/>
          <w:szCs w:val="24"/>
        </w:rPr>
        <w:t xml:space="preserve">the collected </w:t>
      </w:r>
      <w:r w:rsidRPr="00592998">
        <w:rPr>
          <w:bCs/>
          <w:sz w:val="24"/>
          <w:szCs w:val="24"/>
        </w:rPr>
        <w:t>spectra</w:t>
      </w:r>
      <w:r>
        <w:rPr>
          <w:bCs/>
          <w:sz w:val="24"/>
          <w:szCs w:val="24"/>
        </w:rPr>
        <w:t xml:space="preserve"> (see SI)</w:t>
      </w:r>
      <w:r w:rsidRPr="00592998">
        <w:rPr>
          <w:bCs/>
          <w:sz w:val="24"/>
          <w:szCs w:val="24"/>
        </w:rPr>
        <w:t>.</w:t>
      </w:r>
      <w:r w:rsidRPr="00592998">
        <w:rPr>
          <w:iCs/>
          <w:sz w:val="24"/>
          <w:szCs w:val="24"/>
        </w:rPr>
        <w:t xml:space="preserve"> </w:t>
      </w:r>
      <w:r w:rsidRPr="00592998">
        <w:rPr>
          <w:sz w:val="24"/>
          <w:szCs w:val="24"/>
        </w:rPr>
        <w:t xml:space="preserve">The identity of </w:t>
      </w:r>
      <w:r>
        <w:rPr>
          <w:b/>
          <w:sz w:val="24"/>
          <w:szCs w:val="24"/>
        </w:rPr>
        <w:t>8a</w:t>
      </w:r>
      <w:r w:rsidRPr="00592998">
        <w:rPr>
          <w:sz w:val="24"/>
          <w:szCs w:val="24"/>
        </w:rPr>
        <w:t xml:space="preserve"> </w:t>
      </w:r>
      <w:r>
        <w:rPr>
          <w:sz w:val="24"/>
          <w:szCs w:val="24"/>
        </w:rPr>
        <w:t xml:space="preserve">(crystallized from acetone:water 1:1 v/v mixture) </w:t>
      </w:r>
      <w:r w:rsidRPr="00592998">
        <w:rPr>
          <w:sz w:val="24"/>
          <w:szCs w:val="24"/>
        </w:rPr>
        <w:t xml:space="preserve">and </w:t>
      </w:r>
      <w:r>
        <w:rPr>
          <w:b/>
          <w:sz w:val="24"/>
          <w:szCs w:val="24"/>
        </w:rPr>
        <w:t>8i</w:t>
      </w:r>
      <w:r w:rsidRPr="00592998">
        <w:rPr>
          <w:sz w:val="24"/>
          <w:szCs w:val="24"/>
        </w:rPr>
        <w:t xml:space="preserve"> </w:t>
      </w:r>
      <w:r>
        <w:rPr>
          <w:sz w:val="24"/>
          <w:szCs w:val="24"/>
        </w:rPr>
        <w:t xml:space="preserve">(crystallized from ethyl acetate) </w:t>
      </w:r>
      <w:r w:rsidRPr="00592998">
        <w:rPr>
          <w:sz w:val="24"/>
          <w:szCs w:val="24"/>
        </w:rPr>
        <w:t>was proven by the single-crystal X-ray diffraction analysis. It turned out that investigated compounds crystalliz</w:t>
      </w:r>
      <w:r>
        <w:rPr>
          <w:sz w:val="24"/>
          <w:szCs w:val="24"/>
        </w:rPr>
        <w:t>e</w:t>
      </w:r>
      <w:r w:rsidRPr="00592998">
        <w:rPr>
          <w:sz w:val="24"/>
          <w:szCs w:val="24"/>
        </w:rPr>
        <w:t xml:space="preserve"> in the hexagonal </w:t>
      </w:r>
      <w:r w:rsidRPr="00592998">
        <w:rPr>
          <w:i/>
          <w:sz w:val="24"/>
          <w:szCs w:val="24"/>
        </w:rPr>
        <w:t>P</w:t>
      </w:r>
      <w:r w:rsidRPr="00592998">
        <w:rPr>
          <w:sz w:val="24"/>
          <w:szCs w:val="24"/>
        </w:rPr>
        <w:t>6</w:t>
      </w:r>
      <w:r w:rsidRPr="00592998">
        <w:rPr>
          <w:sz w:val="24"/>
          <w:szCs w:val="24"/>
          <w:vertAlign w:val="subscript"/>
        </w:rPr>
        <w:t>5</w:t>
      </w:r>
      <w:r w:rsidRPr="00592998">
        <w:rPr>
          <w:sz w:val="24"/>
          <w:szCs w:val="24"/>
        </w:rPr>
        <w:t xml:space="preserve"> (</w:t>
      </w:r>
      <w:r>
        <w:rPr>
          <w:b/>
          <w:sz w:val="24"/>
          <w:szCs w:val="24"/>
        </w:rPr>
        <w:t>8a</w:t>
      </w:r>
      <w:r w:rsidRPr="00592998">
        <w:rPr>
          <w:sz w:val="24"/>
          <w:szCs w:val="24"/>
        </w:rPr>
        <w:t xml:space="preserve">) and triclinic </w:t>
      </w:r>
      <w:r w:rsidRPr="00592998">
        <w:rPr>
          <w:i/>
          <w:sz w:val="24"/>
          <w:szCs w:val="24"/>
        </w:rPr>
        <w:t>P</w:t>
      </w:r>
      <w:r w:rsidRPr="00592998">
        <w:rPr>
          <w:sz w:val="24"/>
          <w:szCs w:val="24"/>
        </w:rPr>
        <w:t>1 (</w:t>
      </w:r>
      <w:r>
        <w:rPr>
          <w:b/>
          <w:sz w:val="24"/>
          <w:szCs w:val="24"/>
        </w:rPr>
        <w:t>8i</w:t>
      </w:r>
      <w:r w:rsidRPr="00592998">
        <w:rPr>
          <w:sz w:val="24"/>
          <w:szCs w:val="24"/>
        </w:rPr>
        <w:t>) space groups</w:t>
      </w:r>
      <w:r>
        <w:rPr>
          <w:sz w:val="24"/>
          <w:szCs w:val="24"/>
        </w:rPr>
        <w:t>,</w:t>
      </w:r>
      <w:r w:rsidRPr="00592998">
        <w:rPr>
          <w:sz w:val="24"/>
          <w:szCs w:val="24"/>
        </w:rPr>
        <w:t xml:space="preserve"> with one (</w:t>
      </w:r>
      <w:r>
        <w:rPr>
          <w:b/>
          <w:sz w:val="24"/>
          <w:szCs w:val="24"/>
        </w:rPr>
        <w:t>8a</w:t>
      </w:r>
      <w:r w:rsidRPr="00592998">
        <w:rPr>
          <w:sz w:val="24"/>
          <w:szCs w:val="24"/>
        </w:rPr>
        <w:t>) or two (</w:t>
      </w:r>
      <w:r>
        <w:rPr>
          <w:b/>
          <w:sz w:val="24"/>
          <w:szCs w:val="24"/>
        </w:rPr>
        <w:t>8i</w:t>
      </w:r>
      <w:r w:rsidRPr="00592998">
        <w:rPr>
          <w:sz w:val="24"/>
          <w:szCs w:val="24"/>
        </w:rPr>
        <w:t>) molecules in the asymmetric unit</w:t>
      </w:r>
      <w:r>
        <w:rPr>
          <w:sz w:val="24"/>
          <w:szCs w:val="24"/>
        </w:rPr>
        <w:t>s</w:t>
      </w:r>
      <w:r w:rsidRPr="00592998">
        <w:rPr>
          <w:sz w:val="24"/>
          <w:szCs w:val="24"/>
        </w:rPr>
        <w:t xml:space="preserve"> of the </w:t>
      </w:r>
      <w:r>
        <w:rPr>
          <w:sz w:val="24"/>
          <w:szCs w:val="24"/>
        </w:rPr>
        <w:t xml:space="preserve">corresponding </w:t>
      </w:r>
      <w:r w:rsidRPr="00592998">
        <w:rPr>
          <w:sz w:val="24"/>
          <w:szCs w:val="24"/>
        </w:rPr>
        <w:t>crystal lattice</w:t>
      </w:r>
      <w:r>
        <w:rPr>
          <w:sz w:val="24"/>
          <w:szCs w:val="24"/>
        </w:rPr>
        <w:t>s</w:t>
      </w:r>
      <w:r w:rsidRPr="00592998">
        <w:rPr>
          <w:sz w:val="24"/>
          <w:szCs w:val="24"/>
        </w:rPr>
        <w:t xml:space="preserve"> (Fig. 2). The details of crystallographic data and the refinement parameters are summarized in Table </w:t>
      </w:r>
      <w:r>
        <w:rPr>
          <w:sz w:val="24"/>
          <w:szCs w:val="24"/>
        </w:rPr>
        <w:t>1 of the Supplement file</w:t>
      </w:r>
      <w:r w:rsidRPr="00592998">
        <w:rPr>
          <w:sz w:val="24"/>
          <w:szCs w:val="24"/>
        </w:rPr>
        <w:t>. The full list of values of bond lengths, valence and torsion angles can be found in the Supplementary Information (</w:t>
      </w:r>
      <w:r w:rsidRPr="00CD5822">
        <w:rPr>
          <w:sz w:val="24"/>
          <w:szCs w:val="24"/>
        </w:rPr>
        <w:t>Tables 2</w:t>
      </w:r>
      <w:r w:rsidRPr="00CD5822">
        <w:rPr>
          <w:sz w:val="24"/>
          <w:szCs w:val="24"/>
          <w:lang w:val="en-GB"/>
        </w:rPr>
        <w:t>–</w:t>
      </w:r>
      <w:r w:rsidRPr="00CD5822">
        <w:rPr>
          <w:sz w:val="24"/>
          <w:szCs w:val="24"/>
        </w:rPr>
        <w:t>7).</w:t>
      </w:r>
    </w:p>
    <w:p w:rsidR="00AB7090" w:rsidRPr="00592998" w:rsidRDefault="00AB7090" w:rsidP="00592998">
      <w:pPr>
        <w:spacing w:line="360" w:lineRule="auto"/>
        <w:ind w:firstLine="720"/>
        <w:jc w:val="both"/>
        <w:rPr>
          <w:iCs/>
          <w:lang w:val="en-US"/>
        </w:rPr>
      </w:pPr>
      <w:r w:rsidRPr="00592998">
        <w:rPr>
          <w:b/>
          <w:iCs/>
          <w:lang w:val="en-US"/>
        </w:rPr>
        <w:br/>
      </w:r>
    </w:p>
    <w:p w:rsidR="00AB7090" w:rsidRDefault="00AB7090" w:rsidP="00592998">
      <w:pPr>
        <w:spacing w:line="360" w:lineRule="auto"/>
        <w:ind w:firstLine="720"/>
        <w:jc w:val="both"/>
        <w:rPr>
          <w:iCs/>
          <w:lang w:val="en-US"/>
        </w:rPr>
      </w:pPr>
    </w:p>
    <w:p w:rsidR="00AB7090" w:rsidRDefault="00AB7090" w:rsidP="00592998">
      <w:pPr>
        <w:pStyle w:val="TAMainText"/>
        <w:jc w:val="center"/>
        <w:rPr>
          <w:sz w:val="21"/>
          <w:szCs w:val="21"/>
        </w:rPr>
      </w:pPr>
      <w:r w:rsidRPr="000B175E">
        <w:rPr>
          <w:noProof/>
          <w:sz w:val="21"/>
          <w:szCs w:val="21"/>
          <w:lang w:eastAsia="ja-JP"/>
        </w:rPr>
        <w:pict>
          <v:shape id="Obraz 7" o:spid="_x0000_i1030" type="#_x0000_t75" style="width:255.5pt;height:383.5pt;visibility:visible">
            <v:imagedata r:id="rId17" o:title=""/>
          </v:shape>
        </w:pict>
      </w:r>
    </w:p>
    <w:p w:rsidR="00AB7090" w:rsidRPr="00302B3B" w:rsidRDefault="00AB7090" w:rsidP="00592998">
      <w:pPr>
        <w:pStyle w:val="TAMainText"/>
        <w:jc w:val="center"/>
        <w:rPr>
          <w:sz w:val="21"/>
          <w:szCs w:val="21"/>
        </w:rPr>
      </w:pPr>
    </w:p>
    <w:p w:rsidR="00AB7090" w:rsidRPr="008A1DB5" w:rsidRDefault="00AB7090" w:rsidP="00A805F5">
      <w:pPr>
        <w:spacing w:line="360" w:lineRule="auto"/>
        <w:contextualSpacing/>
        <w:jc w:val="both"/>
        <w:rPr>
          <w:lang w:val="en-US"/>
        </w:rPr>
      </w:pPr>
      <w:r w:rsidRPr="008A1DB5">
        <w:rPr>
          <w:b/>
          <w:lang w:val="en-US"/>
        </w:rPr>
        <w:t>Figure 2.</w:t>
      </w:r>
      <w:r w:rsidRPr="008A1DB5">
        <w:rPr>
          <w:lang w:val="en-US"/>
        </w:rPr>
        <w:t xml:space="preserve"> Molecular structure of </w:t>
      </w:r>
      <w:r>
        <w:rPr>
          <w:b/>
          <w:lang w:val="en-US"/>
        </w:rPr>
        <w:t>8a</w:t>
      </w:r>
      <w:r w:rsidRPr="008A1DB5">
        <w:rPr>
          <w:b/>
          <w:lang w:val="en-US"/>
        </w:rPr>
        <w:t xml:space="preserve"> </w:t>
      </w:r>
      <w:r w:rsidRPr="008A1DB5">
        <w:rPr>
          <w:lang w:val="en-US"/>
        </w:rPr>
        <w:t>(a)</w:t>
      </w:r>
      <w:r w:rsidRPr="008A1DB5">
        <w:rPr>
          <w:b/>
          <w:lang w:val="en-US"/>
        </w:rPr>
        <w:t xml:space="preserve"> </w:t>
      </w:r>
      <w:r w:rsidRPr="008A1DB5">
        <w:rPr>
          <w:lang w:val="en-US"/>
        </w:rPr>
        <w:t xml:space="preserve">and </w:t>
      </w:r>
      <w:r>
        <w:rPr>
          <w:b/>
          <w:lang w:val="en-US"/>
        </w:rPr>
        <w:t>8i</w:t>
      </w:r>
      <w:r w:rsidRPr="008A1DB5">
        <w:rPr>
          <w:lang w:val="en-US"/>
        </w:rPr>
        <w:t xml:space="preserve"> (b) with crystallographic numbering</w:t>
      </w:r>
      <w:r>
        <w:rPr>
          <w:lang w:val="en-US"/>
        </w:rPr>
        <w:t xml:space="preserve"> schemes</w:t>
      </w:r>
      <w:r w:rsidRPr="008A1DB5">
        <w:rPr>
          <w:lang w:val="en-US"/>
        </w:rPr>
        <w:t xml:space="preserve">. </w:t>
      </w:r>
      <w:r>
        <w:rPr>
          <w:lang w:val="en-US"/>
        </w:rPr>
        <w:t>The atomic d</w:t>
      </w:r>
      <w:r w:rsidRPr="008A1DB5">
        <w:rPr>
          <w:lang w:val="en-US"/>
        </w:rPr>
        <w:t xml:space="preserve">isplacement ellipsoids </w:t>
      </w:r>
      <w:r>
        <w:rPr>
          <w:lang w:val="en-US"/>
        </w:rPr>
        <w:t xml:space="preserve">(ADPs) </w:t>
      </w:r>
      <w:r w:rsidRPr="008A1DB5">
        <w:rPr>
          <w:lang w:val="en-US"/>
        </w:rPr>
        <w:t xml:space="preserve">are drawn at the 50% probability level and the H-atoms are shown as small spheres of </w:t>
      </w:r>
      <w:r>
        <w:rPr>
          <w:lang w:val="en-US"/>
        </w:rPr>
        <w:t xml:space="preserve">an </w:t>
      </w:r>
      <w:r w:rsidRPr="008A1DB5">
        <w:rPr>
          <w:lang w:val="en-US"/>
        </w:rPr>
        <w:t>arbitrary radius. The weak intermolecular C</w:t>
      </w:r>
      <w:r w:rsidRPr="008A1DB5">
        <w:rPr>
          <w:lang w:val="en-GB"/>
        </w:rPr>
        <w:t>–</w:t>
      </w:r>
      <w:r w:rsidRPr="008A1DB5">
        <w:rPr>
          <w:lang w:val="en-US"/>
        </w:rPr>
        <w:t>H</w:t>
      </w:r>
      <w:r w:rsidRPr="008A1DB5">
        <w:rPr>
          <w:lang w:val="en-US" w:eastAsia="pl-PL"/>
        </w:rPr>
        <w:t>···O hydrogen bond is represented by dashed line</w:t>
      </w:r>
      <w:r w:rsidRPr="008A1DB5">
        <w:rPr>
          <w:lang w:val="en-US"/>
        </w:rPr>
        <w:t>.</w:t>
      </w:r>
    </w:p>
    <w:p w:rsidR="00AB7090" w:rsidRDefault="00AB7090" w:rsidP="008A1DB5">
      <w:pPr>
        <w:spacing w:line="360" w:lineRule="auto"/>
        <w:ind w:firstLine="720"/>
        <w:jc w:val="both"/>
        <w:rPr>
          <w:iCs/>
          <w:lang w:val="en-US"/>
        </w:rPr>
      </w:pPr>
    </w:p>
    <w:p w:rsidR="00AB7090" w:rsidRPr="000A530F" w:rsidRDefault="00AB7090" w:rsidP="00362C8D">
      <w:pPr>
        <w:pStyle w:val="TAMainText"/>
        <w:spacing w:line="360" w:lineRule="auto"/>
        <w:ind w:firstLine="720"/>
        <w:rPr>
          <w:sz w:val="24"/>
          <w:szCs w:val="24"/>
        </w:rPr>
      </w:pPr>
      <w:r w:rsidRPr="00C00FAA">
        <w:rPr>
          <w:sz w:val="24"/>
          <w:szCs w:val="24"/>
          <w:lang w:val="en-GB" w:eastAsia="pl-PL"/>
        </w:rPr>
        <w:t xml:space="preserve">The </w:t>
      </w:r>
      <w:r w:rsidRPr="00C00FAA">
        <w:rPr>
          <w:sz w:val="24"/>
          <w:szCs w:val="24"/>
          <w:lang w:val="en-GB"/>
        </w:rPr>
        <w:t xml:space="preserve">heterocyclic seven- and six-membered rings of tricyclic benzodiazepine moiety adopt </w:t>
      </w:r>
      <w:r>
        <w:rPr>
          <w:sz w:val="24"/>
          <w:szCs w:val="24"/>
          <w:lang w:val="en-GB"/>
        </w:rPr>
        <w:t>the</w:t>
      </w:r>
      <w:r w:rsidRPr="00C00FAA">
        <w:rPr>
          <w:sz w:val="24"/>
          <w:szCs w:val="24"/>
          <w:lang w:val="en-GB"/>
        </w:rPr>
        <w:t xml:space="preserve"> boat and chair conformation</w:t>
      </w:r>
      <w:r>
        <w:rPr>
          <w:sz w:val="24"/>
          <w:szCs w:val="24"/>
          <w:lang w:val="en-GB"/>
        </w:rPr>
        <w:t>s</w:t>
      </w:r>
      <w:r w:rsidRPr="00C00FAA">
        <w:rPr>
          <w:sz w:val="24"/>
          <w:szCs w:val="24"/>
          <w:lang w:val="en-GB"/>
        </w:rPr>
        <w:t xml:space="preserve"> in all analysed molecules</w:t>
      </w:r>
      <w:r>
        <w:rPr>
          <w:sz w:val="24"/>
          <w:szCs w:val="24"/>
          <w:lang w:val="en-GB"/>
        </w:rPr>
        <w:t>,</w:t>
      </w:r>
      <w:r w:rsidRPr="00C00FAA">
        <w:rPr>
          <w:sz w:val="24"/>
          <w:szCs w:val="24"/>
          <w:lang w:val="en-GB"/>
        </w:rPr>
        <w:t xml:space="preserve"> wh</w:t>
      </w:r>
      <w:r>
        <w:rPr>
          <w:sz w:val="24"/>
          <w:szCs w:val="24"/>
          <w:lang w:val="en-GB"/>
        </w:rPr>
        <w:t>ich</w:t>
      </w:r>
      <w:r w:rsidRPr="00C00FAA">
        <w:rPr>
          <w:sz w:val="24"/>
          <w:szCs w:val="24"/>
          <w:lang w:val="en-GB"/>
        </w:rPr>
        <w:t xml:space="preserve"> is in agreement </w:t>
      </w:r>
      <w:r>
        <w:rPr>
          <w:sz w:val="24"/>
          <w:szCs w:val="24"/>
          <w:lang w:val="en-GB"/>
        </w:rPr>
        <w:t>with</w:t>
      </w:r>
      <w:r w:rsidRPr="00C00FAA">
        <w:rPr>
          <w:sz w:val="24"/>
          <w:szCs w:val="24"/>
          <w:lang w:val="en-GB"/>
        </w:rPr>
        <w:t xml:space="preserve"> what was observed in </w:t>
      </w:r>
      <w:r>
        <w:rPr>
          <w:sz w:val="24"/>
          <w:szCs w:val="24"/>
          <w:lang w:val="en-GB"/>
        </w:rPr>
        <w:t xml:space="preserve">the </w:t>
      </w:r>
      <w:r w:rsidRPr="00C00FAA">
        <w:rPr>
          <w:sz w:val="24"/>
          <w:szCs w:val="24"/>
          <w:lang w:val="en-GB"/>
        </w:rPr>
        <w:t xml:space="preserve">case of the </w:t>
      </w:r>
      <w:r w:rsidRPr="00C62F1D">
        <w:rPr>
          <w:bCs/>
          <w:i/>
          <w:sz w:val="24"/>
          <w:szCs w:val="24"/>
        </w:rPr>
        <w:t>(S</w:t>
      </w:r>
      <w:r w:rsidRPr="00C62F1D">
        <w:rPr>
          <w:bCs/>
          <w:sz w:val="24"/>
          <w:szCs w:val="24"/>
        </w:rPr>
        <w:t>)-2-(4-chlorobenzoyl)-1,2,3,4-tetrahydrobenzo[</w:t>
      </w:r>
      <w:r w:rsidRPr="00C62F1D">
        <w:rPr>
          <w:bCs/>
          <w:i/>
          <w:sz w:val="24"/>
          <w:szCs w:val="24"/>
        </w:rPr>
        <w:t>e</w:t>
      </w:r>
      <w:r w:rsidRPr="00C62F1D">
        <w:rPr>
          <w:bCs/>
          <w:sz w:val="24"/>
          <w:szCs w:val="24"/>
        </w:rPr>
        <w:t>]pyrazino[1,2-</w:t>
      </w:r>
      <w:r w:rsidRPr="00C62F1D">
        <w:rPr>
          <w:bCs/>
          <w:i/>
          <w:sz w:val="24"/>
          <w:szCs w:val="24"/>
        </w:rPr>
        <w:t>a</w:t>
      </w:r>
      <w:r w:rsidRPr="00C62F1D">
        <w:rPr>
          <w:bCs/>
          <w:sz w:val="24"/>
          <w:szCs w:val="24"/>
        </w:rPr>
        <w:t>][1,4]diazepine-6,12(11</w:t>
      </w:r>
      <w:r w:rsidRPr="00C62F1D">
        <w:rPr>
          <w:bCs/>
          <w:i/>
          <w:sz w:val="24"/>
          <w:szCs w:val="24"/>
        </w:rPr>
        <w:t>H</w:t>
      </w:r>
      <w:r w:rsidRPr="00C62F1D">
        <w:rPr>
          <w:bCs/>
          <w:sz w:val="24"/>
          <w:szCs w:val="24"/>
        </w:rPr>
        <w:t>,12</w:t>
      </w:r>
      <w:r w:rsidRPr="00C62F1D">
        <w:rPr>
          <w:bCs/>
          <w:i/>
          <w:sz w:val="24"/>
          <w:szCs w:val="24"/>
        </w:rPr>
        <w:t>aH</w:t>
      </w:r>
      <w:r w:rsidRPr="00C62F1D">
        <w:rPr>
          <w:bCs/>
          <w:sz w:val="24"/>
          <w:szCs w:val="24"/>
        </w:rPr>
        <w:t>)-dione (</w:t>
      </w:r>
      <w:r w:rsidRPr="00C62F1D">
        <w:rPr>
          <w:b/>
          <w:bCs/>
          <w:sz w:val="24"/>
          <w:szCs w:val="24"/>
        </w:rPr>
        <w:t>8b</w:t>
      </w:r>
      <w:r w:rsidRPr="00C62F1D">
        <w:rPr>
          <w:bCs/>
          <w:sz w:val="24"/>
          <w:szCs w:val="24"/>
        </w:rPr>
        <w:t>).</w:t>
      </w:r>
      <w:r>
        <w:rPr>
          <w:bCs/>
          <w:sz w:val="24"/>
          <w:szCs w:val="24"/>
          <w:vertAlign w:val="superscript"/>
        </w:rPr>
        <w:t>22</w:t>
      </w:r>
      <w:r w:rsidRPr="00C00FAA">
        <w:rPr>
          <w:sz w:val="24"/>
          <w:szCs w:val="24"/>
          <w:lang w:val="en-GB"/>
        </w:rPr>
        <w:t xml:space="preserve"> </w:t>
      </w:r>
      <w:r w:rsidRPr="00FE494F">
        <w:rPr>
          <w:sz w:val="24"/>
          <w:szCs w:val="24"/>
          <w:lang w:val="en-GB"/>
        </w:rPr>
        <w:t xml:space="preserve">In the case of </w:t>
      </w:r>
      <w:r w:rsidRPr="00FE494F">
        <w:rPr>
          <w:b/>
          <w:sz w:val="24"/>
          <w:szCs w:val="24"/>
          <w:lang w:val="en-GB"/>
        </w:rPr>
        <w:t>8a</w:t>
      </w:r>
      <w:r w:rsidRPr="00660050">
        <w:rPr>
          <w:sz w:val="24"/>
          <w:szCs w:val="24"/>
          <w:lang w:val="en-GB"/>
        </w:rPr>
        <w:t>,</w:t>
      </w:r>
      <w:r w:rsidRPr="00FE494F">
        <w:rPr>
          <w:sz w:val="24"/>
          <w:szCs w:val="24"/>
          <w:lang w:val="en-GB"/>
        </w:rPr>
        <w:t xml:space="preserve"> the (</w:t>
      </w:r>
      <w:r w:rsidRPr="00FE494F">
        <w:rPr>
          <w:i/>
          <w:sz w:val="24"/>
          <w:szCs w:val="24"/>
          <w:lang w:val="en-GB"/>
        </w:rPr>
        <w:t>S</w:t>
      </w:r>
      <w:r w:rsidRPr="00FE494F">
        <w:rPr>
          <w:sz w:val="24"/>
          <w:szCs w:val="24"/>
          <w:lang w:val="en-GB"/>
        </w:rPr>
        <w:t xml:space="preserve">)-configuration of the chiral centre is observed, whereas in the case of </w:t>
      </w:r>
      <w:r w:rsidRPr="00FE494F">
        <w:rPr>
          <w:b/>
          <w:sz w:val="24"/>
          <w:szCs w:val="24"/>
          <w:lang w:val="en-GB"/>
        </w:rPr>
        <w:t>8i,</w:t>
      </w:r>
      <w:r w:rsidRPr="00FE494F">
        <w:rPr>
          <w:sz w:val="24"/>
          <w:szCs w:val="24"/>
          <w:lang w:val="en-GB"/>
        </w:rPr>
        <w:t xml:space="preserve"> both</w:t>
      </w:r>
      <w:r w:rsidRPr="00C00FAA">
        <w:rPr>
          <w:sz w:val="24"/>
          <w:szCs w:val="24"/>
          <w:lang w:val="en-GB"/>
        </w:rPr>
        <w:t xml:space="preserve"> molecules of compound possess the (</w:t>
      </w:r>
      <w:r w:rsidRPr="00C00FAA">
        <w:rPr>
          <w:i/>
          <w:sz w:val="24"/>
          <w:szCs w:val="24"/>
          <w:lang w:val="en-GB"/>
        </w:rPr>
        <w:t>R</w:t>
      </w:r>
      <w:r w:rsidRPr="00C00FAA">
        <w:rPr>
          <w:sz w:val="24"/>
          <w:szCs w:val="24"/>
          <w:lang w:val="en-GB"/>
        </w:rPr>
        <w:t xml:space="preserve">)-configuration. </w:t>
      </w:r>
      <w:r>
        <w:rPr>
          <w:sz w:val="24"/>
          <w:szCs w:val="24"/>
          <w:lang w:val="en-GB"/>
        </w:rPr>
        <w:t>Some n</w:t>
      </w:r>
      <w:r w:rsidRPr="00C00FAA">
        <w:rPr>
          <w:sz w:val="24"/>
          <w:szCs w:val="24"/>
          <w:lang w:val="en-GB"/>
        </w:rPr>
        <w:t>oticeable</w:t>
      </w:r>
      <w:r w:rsidRPr="00C62F1D">
        <w:rPr>
          <w:bCs/>
          <w:sz w:val="24"/>
          <w:szCs w:val="24"/>
        </w:rPr>
        <w:t xml:space="preserve"> differences in the geometry of molecules are observed in case of the spatial orientation of the benzoyl moiety. </w:t>
      </w:r>
      <w:r w:rsidRPr="00C00FAA">
        <w:rPr>
          <w:sz w:val="24"/>
          <w:szCs w:val="24"/>
        </w:rPr>
        <w:t>The value of dihedral angle between mean-planes</w:t>
      </w:r>
      <w:r>
        <w:rPr>
          <w:sz w:val="24"/>
          <w:szCs w:val="24"/>
        </w:rPr>
        <w:t>,</w:t>
      </w:r>
      <w:r w:rsidRPr="00C00FAA">
        <w:rPr>
          <w:sz w:val="24"/>
          <w:szCs w:val="24"/>
        </w:rPr>
        <w:t xml:space="preserve"> delineated by the carbon atoms of the phenyl rings of the benzoyl and the </w:t>
      </w:r>
      <w:r w:rsidRPr="00C62F1D">
        <w:rPr>
          <w:bCs/>
          <w:sz w:val="24"/>
          <w:szCs w:val="24"/>
        </w:rPr>
        <w:t>1,2,3,4-tetrahydrobenzo[</w:t>
      </w:r>
      <w:r w:rsidRPr="00C62F1D">
        <w:rPr>
          <w:bCs/>
          <w:i/>
          <w:sz w:val="24"/>
          <w:szCs w:val="24"/>
        </w:rPr>
        <w:t>e</w:t>
      </w:r>
      <w:r w:rsidRPr="00C62F1D">
        <w:rPr>
          <w:bCs/>
          <w:sz w:val="24"/>
          <w:szCs w:val="24"/>
        </w:rPr>
        <w:t>]pyrazino[1,2-</w:t>
      </w:r>
      <w:r w:rsidRPr="00C62F1D">
        <w:rPr>
          <w:bCs/>
          <w:i/>
          <w:sz w:val="24"/>
          <w:szCs w:val="24"/>
        </w:rPr>
        <w:t>a</w:t>
      </w:r>
      <w:r w:rsidRPr="00C62F1D">
        <w:rPr>
          <w:bCs/>
          <w:sz w:val="24"/>
          <w:szCs w:val="24"/>
        </w:rPr>
        <w:t>][1,4]diazepine-6,12(11</w:t>
      </w:r>
      <w:r w:rsidRPr="00C62F1D">
        <w:rPr>
          <w:bCs/>
          <w:i/>
          <w:sz w:val="24"/>
          <w:szCs w:val="24"/>
        </w:rPr>
        <w:t>H</w:t>
      </w:r>
      <w:r w:rsidRPr="00C62F1D">
        <w:rPr>
          <w:bCs/>
          <w:sz w:val="24"/>
          <w:szCs w:val="24"/>
        </w:rPr>
        <w:t>,12</w:t>
      </w:r>
      <w:r w:rsidRPr="00C62F1D">
        <w:rPr>
          <w:bCs/>
          <w:i/>
          <w:sz w:val="24"/>
          <w:szCs w:val="24"/>
        </w:rPr>
        <w:t>aH</w:t>
      </w:r>
      <w:r w:rsidRPr="00C62F1D">
        <w:rPr>
          <w:bCs/>
          <w:sz w:val="24"/>
          <w:szCs w:val="24"/>
        </w:rPr>
        <w:t>)-dione</w:t>
      </w:r>
      <w:r w:rsidRPr="00C00FAA">
        <w:rPr>
          <w:sz w:val="24"/>
          <w:szCs w:val="24"/>
        </w:rPr>
        <w:t xml:space="preserve"> moieties</w:t>
      </w:r>
      <w:r>
        <w:rPr>
          <w:sz w:val="24"/>
          <w:szCs w:val="24"/>
        </w:rPr>
        <w:t>,</w:t>
      </w:r>
      <w:r w:rsidRPr="00C00FAA">
        <w:rPr>
          <w:sz w:val="24"/>
          <w:szCs w:val="24"/>
        </w:rPr>
        <w:t xml:space="preserve"> is 92.03(14)° in </w:t>
      </w:r>
      <w:r>
        <w:rPr>
          <w:b/>
          <w:sz w:val="24"/>
          <w:szCs w:val="24"/>
        </w:rPr>
        <w:t>8a</w:t>
      </w:r>
      <w:r w:rsidRPr="00C00FAA">
        <w:rPr>
          <w:sz w:val="24"/>
          <w:szCs w:val="24"/>
        </w:rPr>
        <w:t xml:space="preserve">, and 64.38(14) and 85.63(14)° in the case of </w:t>
      </w:r>
      <w:r>
        <w:rPr>
          <w:b/>
          <w:sz w:val="24"/>
          <w:szCs w:val="24"/>
        </w:rPr>
        <w:t>8i</w:t>
      </w:r>
      <w:r w:rsidRPr="00C00FAA">
        <w:rPr>
          <w:sz w:val="24"/>
          <w:szCs w:val="24"/>
        </w:rPr>
        <w:t xml:space="preserve"> (molecule</w:t>
      </w:r>
      <w:r>
        <w:rPr>
          <w:sz w:val="24"/>
          <w:szCs w:val="24"/>
        </w:rPr>
        <w:t>s</w:t>
      </w:r>
      <w:r w:rsidRPr="00C00FAA">
        <w:rPr>
          <w:sz w:val="24"/>
          <w:szCs w:val="24"/>
        </w:rPr>
        <w:t xml:space="preserve"> A and B, respectively).</w:t>
      </w:r>
    </w:p>
    <w:p w:rsidR="00AB7090" w:rsidRPr="006039BC" w:rsidRDefault="00AB7090" w:rsidP="000A530F">
      <w:pPr>
        <w:pStyle w:val="TAMainText"/>
        <w:jc w:val="center"/>
        <w:rPr>
          <w:sz w:val="21"/>
          <w:szCs w:val="21"/>
          <w:lang w:val="pl-PL" w:eastAsia="pl-PL"/>
        </w:rPr>
      </w:pPr>
      <w:r w:rsidRPr="006039BC">
        <w:rPr>
          <w:sz w:val="21"/>
          <w:szCs w:val="21"/>
          <w:lang w:val="pl-PL" w:eastAsia="pl-PL"/>
        </w:rPr>
        <w:pict>
          <v:shape id="_x0000_i1031" type="#_x0000_t75" style="width:269.5pt;height:466.5pt">
            <v:imagedata r:id="rId18" o:title=""/>
          </v:shape>
        </w:pict>
      </w:r>
    </w:p>
    <w:p w:rsidR="00AB7090" w:rsidRPr="00302B3B" w:rsidRDefault="00AB7090" w:rsidP="000A530F">
      <w:pPr>
        <w:pStyle w:val="TAMainText"/>
        <w:rPr>
          <w:sz w:val="21"/>
          <w:szCs w:val="21"/>
          <w:lang w:val="pl-PL" w:eastAsia="pl-PL"/>
        </w:rPr>
      </w:pPr>
    </w:p>
    <w:p w:rsidR="00AB7090" w:rsidRDefault="00AB7090" w:rsidP="00AA2B3D">
      <w:pPr>
        <w:spacing w:line="360" w:lineRule="auto"/>
        <w:contextualSpacing/>
        <w:jc w:val="both"/>
        <w:rPr>
          <w:spacing w:val="-2"/>
          <w:lang w:val="en-US"/>
        </w:rPr>
      </w:pPr>
      <w:r w:rsidRPr="000A530F">
        <w:rPr>
          <w:b/>
          <w:spacing w:val="-2"/>
          <w:lang w:val="en-US"/>
        </w:rPr>
        <w:t>Figure 3.</w:t>
      </w:r>
      <w:r w:rsidRPr="000A530F">
        <w:rPr>
          <w:spacing w:val="-2"/>
          <w:lang w:val="en-US"/>
        </w:rPr>
        <w:t xml:space="preserve"> </w:t>
      </w:r>
      <w:r>
        <w:rPr>
          <w:spacing w:val="-2"/>
          <w:lang w:val="en-US"/>
        </w:rPr>
        <w:t>A</w:t>
      </w:r>
      <w:r w:rsidRPr="000A530F">
        <w:rPr>
          <w:spacing w:val="-2"/>
          <w:lang w:val="en-US"/>
        </w:rPr>
        <w:t xml:space="preserve">rrangement of molecules in the crystal of </w:t>
      </w:r>
      <w:r>
        <w:rPr>
          <w:b/>
          <w:spacing w:val="-2"/>
          <w:lang w:val="en-US"/>
        </w:rPr>
        <w:t>8a</w:t>
      </w:r>
      <w:r w:rsidRPr="000A530F">
        <w:rPr>
          <w:b/>
          <w:spacing w:val="-2"/>
          <w:lang w:val="en-US"/>
        </w:rPr>
        <w:t xml:space="preserve"> </w:t>
      </w:r>
      <w:r w:rsidRPr="000A530F">
        <w:rPr>
          <w:spacing w:val="-2"/>
          <w:lang w:val="en-US"/>
        </w:rPr>
        <w:t>(a)</w:t>
      </w:r>
      <w:r w:rsidRPr="000A530F">
        <w:rPr>
          <w:b/>
          <w:spacing w:val="-2"/>
          <w:lang w:val="en-US"/>
        </w:rPr>
        <w:t xml:space="preserve"> </w:t>
      </w:r>
      <w:r w:rsidRPr="000A530F">
        <w:rPr>
          <w:spacing w:val="-2"/>
          <w:lang w:val="en-US"/>
        </w:rPr>
        <w:t xml:space="preserve">and </w:t>
      </w:r>
      <w:r>
        <w:rPr>
          <w:b/>
          <w:spacing w:val="-2"/>
          <w:lang w:val="en-US"/>
        </w:rPr>
        <w:t>8i</w:t>
      </w:r>
      <w:r w:rsidRPr="000A530F">
        <w:rPr>
          <w:b/>
          <w:spacing w:val="-2"/>
          <w:lang w:val="en-US"/>
        </w:rPr>
        <w:t xml:space="preserve"> </w:t>
      </w:r>
      <w:r w:rsidRPr="000A530F">
        <w:rPr>
          <w:spacing w:val="-2"/>
          <w:lang w:val="en-US"/>
        </w:rPr>
        <w:t>(b), viewed along</w:t>
      </w:r>
      <w:r>
        <w:rPr>
          <w:spacing w:val="-2"/>
          <w:lang w:val="en-US"/>
        </w:rPr>
        <w:t xml:space="preserve"> the</w:t>
      </w:r>
      <w:r w:rsidRPr="000A530F">
        <w:rPr>
          <w:spacing w:val="-2"/>
          <w:lang w:val="en-US"/>
        </w:rPr>
        <w:t xml:space="preserve"> </w:t>
      </w:r>
      <w:r w:rsidRPr="000A530F">
        <w:rPr>
          <w:i/>
          <w:spacing w:val="-2"/>
          <w:lang w:val="en-US"/>
        </w:rPr>
        <w:t xml:space="preserve">a </w:t>
      </w:r>
      <w:r w:rsidRPr="000A530F">
        <w:rPr>
          <w:spacing w:val="-2"/>
          <w:lang w:val="en-US"/>
        </w:rPr>
        <w:t>and</w:t>
      </w:r>
      <w:r w:rsidRPr="000A530F">
        <w:rPr>
          <w:i/>
          <w:spacing w:val="-2"/>
          <w:lang w:val="en-US"/>
        </w:rPr>
        <w:t xml:space="preserve"> b-</w:t>
      </w:r>
      <w:r w:rsidRPr="000A530F">
        <w:rPr>
          <w:spacing w:val="-2"/>
          <w:lang w:val="en-US"/>
        </w:rPr>
        <w:t xml:space="preserve">direction in </w:t>
      </w:r>
      <w:r>
        <w:rPr>
          <w:spacing w:val="-2"/>
          <w:lang w:val="en-US"/>
        </w:rPr>
        <w:t xml:space="preserve">the </w:t>
      </w:r>
      <w:r w:rsidRPr="000A530F">
        <w:rPr>
          <w:spacing w:val="-2"/>
          <w:lang w:val="en-US"/>
        </w:rPr>
        <w:t xml:space="preserve">case of </w:t>
      </w:r>
      <w:r>
        <w:rPr>
          <w:b/>
          <w:spacing w:val="-2"/>
          <w:lang w:val="en-US"/>
        </w:rPr>
        <w:t>8a</w:t>
      </w:r>
      <w:r w:rsidRPr="000A530F">
        <w:rPr>
          <w:spacing w:val="-2"/>
          <w:lang w:val="en-US"/>
        </w:rPr>
        <w:t xml:space="preserve"> and </w:t>
      </w:r>
      <w:r>
        <w:rPr>
          <w:b/>
          <w:spacing w:val="-2"/>
          <w:lang w:val="en-US"/>
        </w:rPr>
        <w:t>8i</w:t>
      </w:r>
      <w:r w:rsidRPr="000A530F">
        <w:rPr>
          <w:spacing w:val="-2"/>
          <w:lang w:val="en-US"/>
        </w:rPr>
        <w:t>, respectively. The H-atoms not involved in the intermolecular interactions have been omitted for clarity. The hydrogen bonds are represented by the dashed lines, while the C</w:t>
      </w:r>
      <w:r w:rsidRPr="000A530F">
        <w:rPr>
          <w:spacing w:val="-2"/>
          <w:lang w:val="en-GB"/>
        </w:rPr>
        <w:t>–</w:t>
      </w:r>
      <w:r w:rsidRPr="000A530F">
        <w:rPr>
          <w:spacing w:val="-2"/>
          <w:lang w:val="en-US"/>
        </w:rPr>
        <w:t>H</w:t>
      </w:r>
      <w:r w:rsidRPr="000A530F">
        <w:rPr>
          <w:spacing w:val="-2"/>
          <w:lang w:val="en-US" w:eastAsia="pl-PL"/>
        </w:rPr>
        <w:t>···</w:t>
      </w:r>
      <w:r w:rsidRPr="000A530F">
        <w:rPr>
          <w:spacing w:val="-2"/>
          <w:lang w:eastAsia="pl-PL"/>
        </w:rPr>
        <w:t>π</w:t>
      </w:r>
      <w:r w:rsidRPr="000A530F">
        <w:rPr>
          <w:spacing w:val="-2"/>
          <w:lang w:val="en-US" w:eastAsia="pl-PL"/>
        </w:rPr>
        <w:t xml:space="preserve"> contacts </w:t>
      </w:r>
      <w:r w:rsidRPr="000A530F">
        <w:rPr>
          <w:spacing w:val="-2"/>
          <w:lang w:val="en-US"/>
        </w:rPr>
        <w:t>by dotted lines</w:t>
      </w:r>
      <w:r>
        <w:rPr>
          <w:spacing w:val="-2"/>
          <w:lang w:val="en-US"/>
        </w:rPr>
        <w:t xml:space="preserve"> (marked in yellow)</w:t>
      </w:r>
      <w:r w:rsidRPr="000A530F">
        <w:rPr>
          <w:spacing w:val="-2"/>
          <w:lang w:val="en-US"/>
        </w:rPr>
        <w:t>.</w:t>
      </w:r>
    </w:p>
    <w:p w:rsidR="00AB7090" w:rsidRPr="000A530F" w:rsidRDefault="00AB7090" w:rsidP="000A530F">
      <w:pPr>
        <w:spacing w:line="360" w:lineRule="auto"/>
        <w:contextualSpacing/>
        <w:jc w:val="both"/>
        <w:rPr>
          <w:spacing w:val="-2"/>
          <w:lang w:val="en-US"/>
        </w:rPr>
      </w:pPr>
    </w:p>
    <w:p w:rsidR="00AB7090" w:rsidRPr="009150AE" w:rsidRDefault="00AB7090" w:rsidP="0081317B">
      <w:pPr>
        <w:spacing w:line="360" w:lineRule="auto"/>
        <w:contextualSpacing/>
        <w:jc w:val="both"/>
        <w:rPr>
          <w:lang w:val="en-US"/>
        </w:rPr>
      </w:pPr>
      <w:r w:rsidRPr="00C00FAA">
        <w:rPr>
          <w:lang w:val="en-US"/>
        </w:rPr>
        <w:t>The packing of molecules in crystals of both investigated compounds is dominated by formation of hydrogen bonds (</w:t>
      </w:r>
      <w:r w:rsidRPr="000A530F">
        <w:rPr>
          <w:lang w:val="en-US"/>
        </w:rPr>
        <w:t xml:space="preserve">Fig. 3, </w:t>
      </w:r>
      <w:r>
        <w:rPr>
          <w:lang w:val="en-US"/>
        </w:rPr>
        <w:t xml:space="preserve">SI: </w:t>
      </w:r>
      <w:r w:rsidRPr="000A530F">
        <w:rPr>
          <w:lang w:val="en-US"/>
        </w:rPr>
        <w:t xml:space="preserve">Tables 8 and </w:t>
      </w:r>
      <w:r>
        <w:rPr>
          <w:lang w:val="en-US"/>
        </w:rPr>
        <w:t>10</w:t>
      </w:r>
      <w:r w:rsidRPr="00C00FAA">
        <w:rPr>
          <w:lang w:val="en-US"/>
        </w:rPr>
        <w:t xml:space="preserve">). The supramolecular architecture of </w:t>
      </w:r>
      <w:r>
        <w:rPr>
          <w:b/>
          <w:lang w:val="en-US"/>
        </w:rPr>
        <w:t>8i</w:t>
      </w:r>
      <w:r w:rsidRPr="00C00FAA">
        <w:rPr>
          <w:lang w:val="en-US"/>
        </w:rPr>
        <w:t xml:space="preserve"> is similar to </w:t>
      </w:r>
      <w:r>
        <w:rPr>
          <w:lang w:val="en-US"/>
        </w:rPr>
        <w:t>the one</w:t>
      </w:r>
      <w:r w:rsidRPr="00C00FAA">
        <w:rPr>
          <w:lang w:val="en-US"/>
        </w:rPr>
        <w:t xml:space="preserve"> observed in the (</w:t>
      </w:r>
      <w:r w:rsidRPr="00C00FAA">
        <w:rPr>
          <w:i/>
          <w:lang w:val="en-US"/>
        </w:rPr>
        <w:t>S</w:t>
      </w:r>
      <w:r>
        <w:rPr>
          <w:lang w:val="en-US"/>
        </w:rPr>
        <w:t>)-enantiomer,</w:t>
      </w:r>
      <w:r w:rsidRPr="00C00FAA">
        <w:rPr>
          <w:lang w:val="en-US"/>
        </w:rPr>
        <w:t xml:space="preserve"> crystal structure </w:t>
      </w:r>
      <w:r>
        <w:rPr>
          <w:lang w:val="en-US"/>
        </w:rPr>
        <w:t xml:space="preserve">of which </w:t>
      </w:r>
      <w:r w:rsidRPr="00C00FAA">
        <w:rPr>
          <w:lang w:val="en-US"/>
        </w:rPr>
        <w:t>was reported earlier</w:t>
      </w:r>
      <w:r>
        <w:rPr>
          <w:lang w:val="en-US"/>
        </w:rPr>
        <w:t>.</w:t>
      </w:r>
      <w:r>
        <w:rPr>
          <w:vertAlign w:val="superscript"/>
          <w:lang w:val="en-US"/>
        </w:rPr>
        <w:t>22</w:t>
      </w:r>
      <w:r>
        <w:rPr>
          <w:lang w:val="en-US"/>
        </w:rPr>
        <w:t xml:space="preserve"> The f</w:t>
      </w:r>
      <w:r w:rsidRPr="00C00FAA">
        <w:rPr>
          <w:lang w:val="en-US"/>
        </w:rPr>
        <w:t>ull list of molecular interactions identified using PLATON</w:t>
      </w:r>
      <w:r w:rsidRPr="005C674C">
        <w:rPr>
          <w:vertAlign w:val="superscript"/>
          <w:lang w:val="en-US"/>
        </w:rPr>
        <w:t>23</w:t>
      </w:r>
      <w:r w:rsidRPr="005C674C">
        <w:rPr>
          <w:color w:val="FF0000"/>
          <w:lang w:val="en-US"/>
        </w:rPr>
        <w:t xml:space="preserve"> </w:t>
      </w:r>
      <w:r>
        <w:rPr>
          <w:lang w:val="en-US"/>
        </w:rPr>
        <w:t>software can be found in the Supplementary Information (</w:t>
      </w:r>
      <w:r w:rsidRPr="000A530F">
        <w:rPr>
          <w:lang w:val="en-US"/>
        </w:rPr>
        <w:t>Tables 8</w:t>
      </w:r>
      <w:r w:rsidRPr="000A530F">
        <w:rPr>
          <w:lang w:val="en-GB"/>
        </w:rPr>
        <w:t>–12</w:t>
      </w:r>
      <w:r w:rsidRPr="00C00FAA">
        <w:rPr>
          <w:lang w:val="en-US"/>
        </w:rPr>
        <w:t xml:space="preserve">). </w:t>
      </w:r>
    </w:p>
    <w:p w:rsidR="00AB7090" w:rsidRDefault="00AB7090" w:rsidP="00402C6D">
      <w:pPr>
        <w:spacing w:line="360" w:lineRule="auto"/>
        <w:ind w:firstLine="720"/>
        <w:jc w:val="both"/>
        <w:rPr>
          <w:iCs/>
          <w:lang w:val="en-US"/>
        </w:rPr>
      </w:pPr>
      <w:r>
        <w:rPr>
          <w:iCs/>
          <w:lang w:val="en-US"/>
        </w:rPr>
        <w:t>A series of (</w:t>
      </w:r>
      <w:r w:rsidRPr="00085DCB">
        <w:rPr>
          <w:i/>
          <w:iCs/>
          <w:lang w:val="en-US"/>
        </w:rPr>
        <w:t>S</w:t>
      </w:r>
      <w:r>
        <w:rPr>
          <w:iCs/>
          <w:lang w:val="en-US"/>
        </w:rPr>
        <w:t>) and (</w:t>
      </w:r>
      <w:r w:rsidRPr="00085DCB">
        <w:rPr>
          <w:i/>
          <w:iCs/>
          <w:lang w:val="en-US"/>
        </w:rPr>
        <w:t>R</w:t>
      </w:r>
      <w:r>
        <w:rPr>
          <w:iCs/>
          <w:lang w:val="en-US"/>
        </w:rPr>
        <w:t xml:space="preserve">) enantiomers of anthramycin analogues was used to evaluate their antiproliferative potential on human biphenotypic B myelomonocytic leukemia (MV-4-11) and human urinary bladder TCC (UM-UC-3) (Table 1) cell lines. </w:t>
      </w:r>
      <w:r w:rsidRPr="005B442D">
        <w:rPr>
          <w:lang w:val="en-US"/>
        </w:rPr>
        <w:t>Cisplatin was used as positive control.</w:t>
      </w:r>
    </w:p>
    <w:p w:rsidR="00AB7090" w:rsidRPr="007D61EA" w:rsidRDefault="00AB7090" w:rsidP="00117300">
      <w:pPr>
        <w:spacing w:line="360" w:lineRule="auto"/>
        <w:jc w:val="both"/>
        <w:rPr>
          <w:iCs/>
          <w:lang w:val="en-US"/>
        </w:rPr>
      </w:pPr>
    </w:p>
    <w:p w:rsidR="00AB7090" w:rsidRPr="0080148F" w:rsidRDefault="00AB7090" w:rsidP="00117300">
      <w:pPr>
        <w:spacing w:line="360" w:lineRule="auto"/>
        <w:jc w:val="both"/>
        <w:rPr>
          <w:lang w:val="en-US"/>
        </w:rPr>
      </w:pPr>
      <w:r w:rsidRPr="009F469F">
        <w:rPr>
          <w:b/>
          <w:iCs/>
          <w:lang w:val="en-US"/>
        </w:rPr>
        <w:t>TABLE 1.</w:t>
      </w:r>
      <w:r>
        <w:rPr>
          <w:iCs/>
          <w:lang w:val="en-US"/>
        </w:rPr>
        <w:t xml:space="preserve"> Preliminary antiproliferative activity results of </w:t>
      </w:r>
      <w:r w:rsidRPr="009F469F">
        <w:rPr>
          <w:b/>
          <w:iCs/>
          <w:lang w:val="en-US"/>
        </w:rPr>
        <w:t>8a-k</w:t>
      </w:r>
      <w:r>
        <w:rPr>
          <w:iCs/>
          <w:lang w:val="en-US"/>
        </w:rPr>
        <w:t xml:space="preserve"> (</w:t>
      </w:r>
      <w:r w:rsidRPr="006A4036">
        <w:rPr>
          <w:i/>
          <w:iCs/>
          <w:lang w:val="en-US"/>
        </w:rPr>
        <w:t>R</w:t>
      </w:r>
      <w:r>
        <w:rPr>
          <w:iCs/>
          <w:lang w:val="en-US"/>
        </w:rPr>
        <w:t>)- and (</w:t>
      </w:r>
      <w:r>
        <w:rPr>
          <w:i/>
          <w:iCs/>
          <w:lang w:val="en-US"/>
        </w:rPr>
        <w:t>S</w:t>
      </w:r>
      <w:r>
        <w:rPr>
          <w:iCs/>
          <w:lang w:val="en-US"/>
        </w:rPr>
        <w:t>)-enantiomers, towards MV-4-11 and UM-UC-3 cell lines</w:t>
      </w:r>
    </w:p>
    <w:tbl>
      <w:tblPr>
        <w:tblpPr w:leftFromText="141" w:rightFromText="141" w:vertAnchor="text" w:horzAnchor="margin" w:tblpXSpec="center" w:tblpY="1454"/>
        <w:tblW w:w="5529" w:type="dxa"/>
        <w:tblCellMar>
          <w:left w:w="70" w:type="dxa"/>
          <w:right w:w="70" w:type="dxa"/>
        </w:tblCellMar>
        <w:tblLook w:val="00A0"/>
      </w:tblPr>
      <w:tblGrid>
        <w:gridCol w:w="1080"/>
        <w:gridCol w:w="1328"/>
        <w:gridCol w:w="832"/>
        <w:gridCol w:w="1328"/>
        <w:gridCol w:w="961"/>
      </w:tblGrid>
      <w:tr w:rsidR="00AB7090" w:rsidTr="00CB5091">
        <w:trPr>
          <w:trHeight w:val="345"/>
        </w:trPr>
        <w:tc>
          <w:tcPr>
            <w:tcW w:w="1080" w:type="dxa"/>
            <w:vMerge w:val="restart"/>
            <w:tcBorders>
              <w:top w:val="single" w:sz="4" w:space="0" w:color="auto"/>
              <w:left w:val="nil"/>
              <w:bottom w:val="nil"/>
              <w:right w:val="nil"/>
            </w:tcBorders>
            <w:shd w:val="clear" w:color="auto" w:fill="D9D9D9"/>
            <w:vAlign w:val="bottom"/>
          </w:tcPr>
          <w:p w:rsidR="00AB7090" w:rsidRPr="00DC61E7" w:rsidRDefault="00AB7090" w:rsidP="00CB5091">
            <w:pPr>
              <w:jc w:val="center"/>
              <w:rPr>
                <w:rFonts w:ascii="Calibri" w:hAnsi="Calibri"/>
                <w:b/>
                <w:bCs/>
                <w:color w:val="000000"/>
                <w:lang w:eastAsia="pl-PL"/>
              </w:rPr>
            </w:pPr>
            <w:r>
              <w:rPr>
                <w:rFonts w:ascii="Calibri" w:hAnsi="Calibri"/>
                <w:b/>
                <w:bCs/>
                <w:color w:val="000000"/>
                <w:sz w:val="22"/>
                <w:szCs w:val="22"/>
              </w:rPr>
              <w:t>Compd</w:t>
            </w:r>
            <w:r w:rsidRPr="00DC61E7">
              <w:rPr>
                <w:rFonts w:ascii="Calibri" w:hAnsi="Calibri"/>
                <w:b/>
                <w:bCs/>
                <w:color w:val="000000"/>
                <w:sz w:val="22"/>
                <w:szCs w:val="22"/>
              </w:rPr>
              <w:t xml:space="preserve"> no.</w:t>
            </w:r>
          </w:p>
        </w:tc>
        <w:tc>
          <w:tcPr>
            <w:tcW w:w="4449" w:type="dxa"/>
            <w:gridSpan w:val="4"/>
            <w:tcBorders>
              <w:top w:val="single" w:sz="4" w:space="0" w:color="auto"/>
              <w:left w:val="nil"/>
              <w:bottom w:val="single" w:sz="4" w:space="0" w:color="auto"/>
              <w:right w:val="nil"/>
            </w:tcBorders>
            <w:shd w:val="clear" w:color="auto" w:fill="D9D9D9"/>
            <w:noWrap/>
            <w:vAlign w:val="center"/>
          </w:tcPr>
          <w:p w:rsidR="00AB7090" w:rsidRPr="00DC61E7" w:rsidRDefault="00AB7090" w:rsidP="00CB5091">
            <w:pPr>
              <w:jc w:val="center"/>
              <w:rPr>
                <w:rFonts w:ascii="Calibri" w:hAnsi="Calibri"/>
                <w:b/>
                <w:bCs/>
              </w:rPr>
            </w:pPr>
            <w:r w:rsidRPr="00DC61E7">
              <w:rPr>
                <w:rFonts w:ascii="Calibri" w:hAnsi="Calibri"/>
                <w:b/>
                <w:bCs/>
                <w:sz w:val="22"/>
                <w:szCs w:val="22"/>
              </w:rPr>
              <w:t>IC</w:t>
            </w:r>
            <w:r w:rsidRPr="00DC61E7">
              <w:rPr>
                <w:rFonts w:ascii="Calibri" w:hAnsi="Calibri"/>
                <w:b/>
                <w:bCs/>
                <w:sz w:val="22"/>
                <w:szCs w:val="22"/>
                <w:vertAlign w:val="subscript"/>
              </w:rPr>
              <w:t>50</w:t>
            </w:r>
            <w:r w:rsidRPr="00DC61E7">
              <w:rPr>
                <w:rFonts w:ascii="Calibri" w:hAnsi="Calibri"/>
                <w:b/>
                <w:bCs/>
                <w:sz w:val="22"/>
                <w:szCs w:val="22"/>
              </w:rPr>
              <w:t xml:space="preserve"> ± SD [µM]</w:t>
            </w:r>
          </w:p>
        </w:tc>
      </w:tr>
      <w:tr w:rsidR="00AB7090" w:rsidTr="00CB5091">
        <w:trPr>
          <w:trHeight w:val="345"/>
        </w:trPr>
        <w:tc>
          <w:tcPr>
            <w:tcW w:w="1080" w:type="dxa"/>
            <w:vMerge/>
            <w:tcBorders>
              <w:top w:val="nil"/>
              <w:left w:val="nil"/>
              <w:bottom w:val="single" w:sz="4" w:space="0" w:color="auto"/>
              <w:right w:val="nil"/>
            </w:tcBorders>
            <w:shd w:val="clear" w:color="auto" w:fill="D9D9D9"/>
            <w:vAlign w:val="center"/>
          </w:tcPr>
          <w:p w:rsidR="00AB7090" w:rsidRPr="00DC61E7" w:rsidRDefault="00AB7090" w:rsidP="00CB5091">
            <w:pPr>
              <w:rPr>
                <w:rFonts w:ascii="Calibri" w:hAnsi="Calibri"/>
                <w:b/>
                <w:bCs/>
                <w:color w:val="000000"/>
              </w:rPr>
            </w:pPr>
          </w:p>
        </w:tc>
        <w:tc>
          <w:tcPr>
            <w:tcW w:w="2160" w:type="dxa"/>
            <w:gridSpan w:val="2"/>
            <w:tcBorders>
              <w:top w:val="single" w:sz="4" w:space="0" w:color="auto"/>
              <w:left w:val="nil"/>
              <w:bottom w:val="single" w:sz="4" w:space="0" w:color="auto"/>
              <w:right w:val="nil"/>
            </w:tcBorders>
            <w:shd w:val="clear" w:color="auto" w:fill="D9D9D9"/>
            <w:noWrap/>
            <w:vAlign w:val="center"/>
          </w:tcPr>
          <w:p w:rsidR="00AB7090" w:rsidRPr="00DC61E7" w:rsidRDefault="00AB7090" w:rsidP="00CB5091">
            <w:pPr>
              <w:jc w:val="center"/>
              <w:rPr>
                <w:rFonts w:ascii="Calibri" w:hAnsi="Calibri"/>
                <w:b/>
                <w:bCs/>
              </w:rPr>
            </w:pPr>
            <w:r w:rsidRPr="00DC61E7">
              <w:rPr>
                <w:rFonts w:ascii="Calibri" w:hAnsi="Calibri"/>
                <w:b/>
                <w:bCs/>
                <w:sz w:val="22"/>
                <w:szCs w:val="22"/>
              </w:rPr>
              <w:t>MV-4-11</w:t>
            </w:r>
          </w:p>
        </w:tc>
        <w:tc>
          <w:tcPr>
            <w:tcW w:w="2289" w:type="dxa"/>
            <w:gridSpan w:val="2"/>
            <w:tcBorders>
              <w:top w:val="single" w:sz="4" w:space="0" w:color="auto"/>
              <w:left w:val="nil"/>
              <w:bottom w:val="single" w:sz="4" w:space="0" w:color="auto"/>
              <w:right w:val="nil"/>
            </w:tcBorders>
            <w:shd w:val="clear" w:color="auto" w:fill="D9D9D9"/>
            <w:noWrap/>
            <w:vAlign w:val="bottom"/>
          </w:tcPr>
          <w:p w:rsidR="00AB7090" w:rsidRPr="00DC61E7" w:rsidRDefault="00AB7090" w:rsidP="00CB5091">
            <w:pPr>
              <w:jc w:val="center"/>
              <w:rPr>
                <w:rFonts w:ascii="Calibri" w:hAnsi="Calibri"/>
                <w:b/>
                <w:bCs/>
                <w:color w:val="000000"/>
              </w:rPr>
            </w:pPr>
            <w:r w:rsidRPr="00DC61E7">
              <w:rPr>
                <w:rFonts w:ascii="Calibri" w:hAnsi="Calibri"/>
                <w:b/>
                <w:bCs/>
                <w:color w:val="000000"/>
                <w:sz w:val="22"/>
                <w:szCs w:val="22"/>
              </w:rPr>
              <w:t>UM-UC-3</w:t>
            </w:r>
          </w:p>
        </w:tc>
      </w:tr>
      <w:tr w:rsidR="00AB7090" w:rsidTr="00CB5091">
        <w:trPr>
          <w:trHeight w:val="300"/>
        </w:trPr>
        <w:tc>
          <w:tcPr>
            <w:tcW w:w="1080" w:type="dxa"/>
            <w:tcBorders>
              <w:top w:val="single" w:sz="4" w:space="0" w:color="auto"/>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8a</w:t>
            </w:r>
          </w:p>
        </w:tc>
        <w:tc>
          <w:tcPr>
            <w:tcW w:w="1328" w:type="dxa"/>
            <w:tcBorders>
              <w:top w:val="single" w:sz="4" w:space="0" w:color="auto"/>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[27.1]*</w:t>
            </w:r>
          </w:p>
        </w:tc>
        <w:tc>
          <w:tcPr>
            <w:tcW w:w="832" w:type="dxa"/>
            <w:tcBorders>
              <w:top w:val="single" w:sz="4" w:space="0" w:color="auto"/>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6.2</w:t>
            </w:r>
          </w:p>
        </w:tc>
        <w:tc>
          <w:tcPr>
            <w:tcW w:w="1328" w:type="dxa"/>
            <w:tcBorders>
              <w:top w:val="single" w:sz="4" w:space="0" w:color="auto"/>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[10.5]*</w:t>
            </w:r>
          </w:p>
        </w:tc>
        <w:tc>
          <w:tcPr>
            <w:tcW w:w="961" w:type="dxa"/>
            <w:tcBorders>
              <w:top w:val="single" w:sz="4" w:space="0" w:color="auto"/>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4.5</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8b</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[32.3]*</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4.6</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[18.2]*</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7.2</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8c</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[44.0]*</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5.6</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[31.1]*</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5.1</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8d</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[19.8]*</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6.0</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[8.6]*</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6.6</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8e</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b/>
                <w:bCs/>
                <w:sz w:val="20"/>
                <w:szCs w:val="20"/>
              </w:rPr>
            </w:pPr>
            <w:r w:rsidRPr="001057F4">
              <w:rPr>
                <w:rFonts w:ascii="Calibri" w:hAnsi="Calibri"/>
                <w:b/>
                <w:bCs/>
                <w:sz w:val="20"/>
                <w:szCs w:val="20"/>
              </w:rPr>
              <w:t>17.5</w:t>
            </w:r>
            <w:r>
              <w:rPr>
                <w:rFonts w:ascii="Calibri" w:hAnsi="Calibri"/>
                <w:b/>
                <w:bCs/>
                <w:sz w:val="20"/>
                <w:szCs w:val="20"/>
              </w:rPr>
              <w:t xml:space="preserve"> </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2.4</w:t>
            </w:r>
          </w:p>
        </w:tc>
        <w:tc>
          <w:tcPr>
            <w:tcW w:w="1328" w:type="dxa"/>
            <w:tcBorders>
              <w:top w:val="nil"/>
              <w:left w:val="nil"/>
              <w:bottom w:val="nil"/>
              <w:right w:val="nil"/>
            </w:tcBorders>
            <w:noWrap/>
            <w:vAlign w:val="center"/>
          </w:tcPr>
          <w:p w:rsidR="00AB7090" w:rsidRDefault="00AB7090" w:rsidP="00CB5091">
            <w:pPr>
              <w:jc w:val="right"/>
              <w:rPr>
                <w:rFonts w:ascii="Calibri" w:hAnsi="Calibri"/>
                <w:b/>
                <w:bCs/>
                <w:sz w:val="20"/>
                <w:szCs w:val="20"/>
              </w:rPr>
            </w:pPr>
            <w:r>
              <w:rPr>
                <w:rFonts w:ascii="Calibri" w:hAnsi="Calibri"/>
                <w:b/>
                <w:bCs/>
                <w:sz w:val="20"/>
                <w:szCs w:val="20"/>
              </w:rPr>
              <w:t xml:space="preserve">61.5 </w:t>
            </w:r>
          </w:p>
        </w:tc>
        <w:tc>
          <w:tcPr>
            <w:tcW w:w="961"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13.0</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8h</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[28.8]*</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11.4</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[24.6]*</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4.6</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8i</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[36.7]*</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5.9</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[22.3]*</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7.3</w:t>
            </w:r>
          </w:p>
        </w:tc>
      </w:tr>
      <w:tr w:rsidR="00AB7090" w:rsidTr="00CB5091">
        <w:trPr>
          <w:trHeight w:val="300"/>
        </w:trPr>
        <w:tc>
          <w:tcPr>
            <w:tcW w:w="1080" w:type="dxa"/>
            <w:tcBorders>
              <w:top w:val="nil"/>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8j</w:t>
            </w:r>
          </w:p>
        </w:tc>
        <w:tc>
          <w:tcPr>
            <w:tcW w:w="1328" w:type="dxa"/>
            <w:tcBorders>
              <w:top w:val="nil"/>
              <w:left w:val="nil"/>
              <w:bottom w:val="nil"/>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[39.8]*</w:t>
            </w:r>
          </w:p>
        </w:tc>
        <w:tc>
          <w:tcPr>
            <w:tcW w:w="832" w:type="dxa"/>
            <w:tcBorders>
              <w:top w:val="nil"/>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8.4</w:t>
            </w:r>
          </w:p>
        </w:tc>
        <w:tc>
          <w:tcPr>
            <w:tcW w:w="1328" w:type="dxa"/>
            <w:tcBorders>
              <w:top w:val="nil"/>
              <w:left w:val="nil"/>
              <w:bottom w:val="nil"/>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[13.3]*</w:t>
            </w:r>
          </w:p>
        </w:tc>
        <w:tc>
          <w:tcPr>
            <w:tcW w:w="961" w:type="dxa"/>
            <w:tcBorders>
              <w:top w:val="nil"/>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2.3</w:t>
            </w:r>
          </w:p>
        </w:tc>
      </w:tr>
      <w:tr w:rsidR="00AB7090" w:rsidTr="00CB5091">
        <w:trPr>
          <w:trHeight w:val="300"/>
        </w:trPr>
        <w:tc>
          <w:tcPr>
            <w:tcW w:w="1080" w:type="dxa"/>
            <w:tcBorders>
              <w:top w:val="nil"/>
              <w:left w:val="nil"/>
              <w:bottom w:val="single" w:sz="4" w:space="0" w:color="auto"/>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8k</w:t>
            </w:r>
          </w:p>
        </w:tc>
        <w:tc>
          <w:tcPr>
            <w:tcW w:w="1328" w:type="dxa"/>
            <w:tcBorders>
              <w:top w:val="nil"/>
              <w:left w:val="nil"/>
              <w:bottom w:val="single" w:sz="4" w:space="0" w:color="auto"/>
              <w:right w:val="nil"/>
            </w:tcBorders>
            <w:noWrap/>
            <w:vAlign w:val="center"/>
          </w:tcPr>
          <w:p w:rsidR="00AB7090" w:rsidRPr="001057F4" w:rsidRDefault="00AB7090" w:rsidP="00CB5091">
            <w:pPr>
              <w:jc w:val="right"/>
              <w:rPr>
                <w:rFonts w:ascii="Calibri" w:hAnsi="Calibri"/>
                <w:sz w:val="20"/>
                <w:szCs w:val="20"/>
              </w:rPr>
            </w:pPr>
            <w:r w:rsidRPr="001057F4">
              <w:rPr>
                <w:rFonts w:ascii="Calibri" w:hAnsi="Calibri"/>
                <w:sz w:val="20"/>
                <w:szCs w:val="20"/>
              </w:rPr>
              <w:t>[39.6]*</w:t>
            </w:r>
          </w:p>
        </w:tc>
        <w:tc>
          <w:tcPr>
            <w:tcW w:w="832" w:type="dxa"/>
            <w:tcBorders>
              <w:top w:val="nil"/>
              <w:left w:val="nil"/>
              <w:bottom w:val="single" w:sz="4" w:space="0" w:color="auto"/>
              <w:right w:val="nil"/>
            </w:tcBorders>
            <w:noWrap/>
            <w:vAlign w:val="bottom"/>
          </w:tcPr>
          <w:p w:rsidR="00AB7090" w:rsidRDefault="00AB7090" w:rsidP="00CB5091">
            <w:pPr>
              <w:rPr>
                <w:rFonts w:ascii="Calibri" w:hAnsi="Calibri"/>
                <w:sz w:val="14"/>
                <w:szCs w:val="14"/>
              </w:rPr>
            </w:pPr>
            <w:r>
              <w:rPr>
                <w:rFonts w:ascii="Calibri" w:hAnsi="Calibri"/>
                <w:sz w:val="14"/>
                <w:szCs w:val="14"/>
              </w:rPr>
              <w:t>± 5.6</w:t>
            </w:r>
          </w:p>
        </w:tc>
        <w:tc>
          <w:tcPr>
            <w:tcW w:w="1328" w:type="dxa"/>
            <w:tcBorders>
              <w:top w:val="nil"/>
              <w:left w:val="nil"/>
              <w:bottom w:val="single" w:sz="4" w:space="0" w:color="auto"/>
              <w:right w:val="nil"/>
            </w:tcBorders>
            <w:noWrap/>
            <w:vAlign w:val="center"/>
          </w:tcPr>
          <w:p w:rsidR="00AB7090" w:rsidRDefault="00AB7090" w:rsidP="00CB5091">
            <w:pPr>
              <w:jc w:val="right"/>
              <w:rPr>
                <w:rFonts w:ascii="Calibri" w:hAnsi="Calibri"/>
                <w:color w:val="000000"/>
                <w:sz w:val="20"/>
                <w:szCs w:val="20"/>
              </w:rPr>
            </w:pPr>
            <w:r>
              <w:rPr>
                <w:rFonts w:ascii="Calibri" w:hAnsi="Calibri"/>
                <w:color w:val="000000"/>
                <w:sz w:val="20"/>
                <w:szCs w:val="20"/>
              </w:rPr>
              <w:t>[19.6]*</w:t>
            </w:r>
          </w:p>
        </w:tc>
        <w:tc>
          <w:tcPr>
            <w:tcW w:w="961" w:type="dxa"/>
            <w:tcBorders>
              <w:top w:val="nil"/>
              <w:left w:val="nil"/>
              <w:bottom w:val="single" w:sz="4" w:space="0" w:color="auto"/>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2.6</w:t>
            </w:r>
          </w:p>
        </w:tc>
      </w:tr>
      <w:tr w:rsidR="00AB7090" w:rsidTr="00CB5091">
        <w:trPr>
          <w:trHeight w:val="141"/>
        </w:trPr>
        <w:tc>
          <w:tcPr>
            <w:tcW w:w="1080" w:type="dxa"/>
            <w:tcBorders>
              <w:top w:val="single" w:sz="4" w:space="0" w:color="auto"/>
              <w:left w:val="nil"/>
              <w:bottom w:val="nil"/>
              <w:right w:val="nil"/>
            </w:tcBorders>
            <w:noWrap/>
            <w:vAlign w:val="bottom"/>
          </w:tcPr>
          <w:p w:rsidR="00AB7090" w:rsidRDefault="00AB7090" w:rsidP="00CB5091">
            <w:pPr>
              <w:jc w:val="right"/>
              <w:rPr>
                <w:rFonts w:ascii="Calibri" w:hAnsi="Calibri"/>
                <w:b/>
                <w:bCs/>
                <w:color w:val="000000"/>
              </w:rPr>
            </w:pPr>
            <w:r>
              <w:rPr>
                <w:rFonts w:ascii="Calibri" w:hAnsi="Calibri"/>
                <w:b/>
                <w:bCs/>
                <w:color w:val="000000"/>
                <w:sz w:val="22"/>
                <w:szCs w:val="22"/>
              </w:rPr>
              <w:t>Cisplatin</w:t>
            </w:r>
          </w:p>
        </w:tc>
        <w:tc>
          <w:tcPr>
            <w:tcW w:w="1328" w:type="dxa"/>
            <w:tcBorders>
              <w:top w:val="single" w:sz="4" w:space="0" w:color="auto"/>
              <w:left w:val="nil"/>
              <w:bottom w:val="nil"/>
              <w:right w:val="nil"/>
            </w:tcBorders>
            <w:noWrap/>
            <w:vAlign w:val="center"/>
          </w:tcPr>
          <w:p w:rsidR="00AB7090" w:rsidRPr="005643E0" w:rsidRDefault="00AB7090" w:rsidP="00CB5091">
            <w:pPr>
              <w:jc w:val="right"/>
              <w:rPr>
                <w:rFonts w:ascii="Calibri" w:hAnsi="Calibri"/>
                <w:b/>
                <w:sz w:val="20"/>
                <w:szCs w:val="20"/>
              </w:rPr>
            </w:pPr>
            <w:r>
              <w:rPr>
                <w:rFonts w:ascii="Calibri" w:hAnsi="Calibri"/>
                <w:b/>
                <w:sz w:val="20"/>
                <w:szCs w:val="20"/>
              </w:rPr>
              <w:t>0.84</w:t>
            </w:r>
          </w:p>
        </w:tc>
        <w:tc>
          <w:tcPr>
            <w:tcW w:w="832" w:type="dxa"/>
            <w:tcBorders>
              <w:top w:val="single" w:sz="4" w:space="0" w:color="auto"/>
              <w:left w:val="nil"/>
              <w:bottom w:val="nil"/>
              <w:right w:val="nil"/>
            </w:tcBorders>
            <w:noWrap/>
            <w:vAlign w:val="bottom"/>
          </w:tcPr>
          <w:p w:rsidR="00AB7090" w:rsidRDefault="00AB7090" w:rsidP="00CB5091">
            <w:pPr>
              <w:rPr>
                <w:rFonts w:ascii="Calibri" w:hAnsi="Calibri"/>
                <w:sz w:val="14"/>
                <w:szCs w:val="14"/>
              </w:rPr>
            </w:pPr>
            <w:r>
              <w:rPr>
                <w:rFonts w:ascii="Calibri" w:hAnsi="Calibri"/>
                <w:sz w:val="14"/>
                <w:szCs w:val="14"/>
              </w:rPr>
              <w:t>± 0.25</w:t>
            </w:r>
          </w:p>
        </w:tc>
        <w:tc>
          <w:tcPr>
            <w:tcW w:w="1328" w:type="dxa"/>
            <w:tcBorders>
              <w:top w:val="single" w:sz="4" w:space="0" w:color="auto"/>
              <w:left w:val="nil"/>
              <w:bottom w:val="nil"/>
              <w:right w:val="nil"/>
            </w:tcBorders>
            <w:noWrap/>
            <w:vAlign w:val="center"/>
          </w:tcPr>
          <w:p w:rsidR="00AB7090" w:rsidRPr="005643E0" w:rsidRDefault="00AB7090" w:rsidP="00CB5091">
            <w:pPr>
              <w:jc w:val="right"/>
              <w:rPr>
                <w:rFonts w:ascii="Calibri" w:hAnsi="Calibri"/>
                <w:b/>
                <w:color w:val="000000"/>
                <w:sz w:val="20"/>
                <w:szCs w:val="20"/>
              </w:rPr>
            </w:pPr>
            <w:r w:rsidRPr="005643E0">
              <w:rPr>
                <w:rFonts w:ascii="Calibri" w:hAnsi="Calibri"/>
                <w:b/>
                <w:color w:val="000000"/>
                <w:sz w:val="20"/>
                <w:szCs w:val="20"/>
              </w:rPr>
              <w:t>4.89</w:t>
            </w:r>
          </w:p>
        </w:tc>
        <w:tc>
          <w:tcPr>
            <w:tcW w:w="961" w:type="dxa"/>
            <w:tcBorders>
              <w:top w:val="single" w:sz="4" w:space="0" w:color="auto"/>
              <w:left w:val="nil"/>
              <w:bottom w:val="nil"/>
              <w:right w:val="nil"/>
            </w:tcBorders>
            <w:noWrap/>
            <w:vAlign w:val="bottom"/>
          </w:tcPr>
          <w:p w:rsidR="00AB7090" w:rsidRDefault="00AB7090" w:rsidP="00CB5091">
            <w:pPr>
              <w:rPr>
                <w:rFonts w:ascii="Calibri" w:hAnsi="Calibri"/>
                <w:color w:val="000000"/>
                <w:sz w:val="14"/>
                <w:szCs w:val="14"/>
              </w:rPr>
            </w:pPr>
            <w:r>
              <w:rPr>
                <w:rFonts w:ascii="Calibri" w:hAnsi="Calibri"/>
                <w:color w:val="000000"/>
                <w:sz w:val="14"/>
                <w:szCs w:val="14"/>
              </w:rPr>
              <w:t>± 1.16</w:t>
            </w:r>
          </w:p>
        </w:tc>
      </w:tr>
      <w:tr w:rsidR="00AB7090" w:rsidRPr="006039BC" w:rsidTr="00CB5091">
        <w:trPr>
          <w:trHeight w:val="285"/>
        </w:trPr>
        <w:tc>
          <w:tcPr>
            <w:tcW w:w="5529" w:type="dxa"/>
            <w:gridSpan w:val="5"/>
            <w:tcBorders>
              <w:top w:val="single" w:sz="4" w:space="0" w:color="auto"/>
              <w:left w:val="nil"/>
              <w:bottom w:val="single" w:sz="4" w:space="0" w:color="auto"/>
              <w:right w:val="nil"/>
            </w:tcBorders>
            <w:shd w:val="clear" w:color="auto" w:fill="D9D9D9"/>
          </w:tcPr>
          <w:p w:rsidR="00AB7090" w:rsidRPr="00DC61E7" w:rsidRDefault="00AB7090" w:rsidP="00CB5091">
            <w:pPr>
              <w:rPr>
                <w:rFonts w:ascii="Calibri" w:hAnsi="Calibri"/>
                <w:sz w:val="20"/>
                <w:szCs w:val="20"/>
                <w:lang w:val="en-US"/>
              </w:rPr>
            </w:pPr>
            <w:r w:rsidRPr="00DC61E7">
              <w:rPr>
                <w:rFonts w:ascii="Calibri" w:hAnsi="Calibri"/>
                <w:sz w:val="20"/>
                <w:szCs w:val="20"/>
                <w:lang w:val="en-US"/>
              </w:rPr>
              <w:t>* - proliferation inhibition at highest concentration used - 200 µM</w:t>
            </w:r>
          </w:p>
        </w:tc>
      </w:tr>
    </w:tbl>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9323AD">
      <w:pPr>
        <w:spacing w:line="360" w:lineRule="auto"/>
        <w:jc w:val="both"/>
        <w:rPr>
          <w:iCs/>
          <w:lang w:val="en-US"/>
        </w:rPr>
      </w:pPr>
    </w:p>
    <w:p w:rsidR="00AB7090" w:rsidRDefault="00AB7090" w:rsidP="00402C6D">
      <w:pPr>
        <w:spacing w:line="360" w:lineRule="auto"/>
        <w:jc w:val="both"/>
        <w:rPr>
          <w:iCs/>
          <w:lang w:val="en-US"/>
        </w:rPr>
      </w:pPr>
      <w:r>
        <w:rPr>
          <w:iCs/>
          <w:lang w:val="en-US"/>
        </w:rPr>
        <w:t>Most of the tested compounds showed rater low activity, with IC</w:t>
      </w:r>
      <w:r w:rsidRPr="0045589F">
        <w:rPr>
          <w:iCs/>
          <w:vertAlign w:val="subscript"/>
          <w:lang w:val="en-US"/>
        </w:rPr>
        <w:t>50</w:t>
      </w:r>
      <w:r>
        <w:rPr>
          <w:iCs/>
          <w:lang w:val="en-US"/>
        </w:rPr>
        <w:t xml:space="preserve"> values, after 72 h from cancer cells exposure, exceeding 200 µM. N</w:t>
      </w:r>
      <w:r w:rsidRPr="0045589F">
        <w:rPr>
          <w:iCs/>
          <w:lang w:val="en-US"/>
        </w:rPr>
        <w:t>o</w:t>
      </w:r>
      <w:r>
        <w:rPr>
          <w:iCs/>
          <w:lang w:val="en-US"/>
        </w:rPr>
        <w:t xml:space="preserve"> significant differences were observed between the (</w:t>
      </w:r>
      <w:r>
        <w:rPr>
          <w:i/>
          <w:iCs/>
          <w:lang w:val="en-US"/>
        </w:rPr>
        <w:t>S</w:t>
      </w:r>
      <w:r>
        <w:rPr>
          <w:iCs/>
          <w:lang w:val="en-US"/>
        </w:rPr>
        <w:t>) and (</w:t>
      </w:r>
      <w:r>
        <w:rPr>
          <w:i/>
          <w:iCs/>
          <w:lang w:val="en-US"/>
        </w:rPr>
        <w:t>R</w:t>
      </w:r>
      <w:r>
        <w:rPr>
          <w:iCs/>
          <w:lang w:val="en-US"/>
        </w:rPr>
        <w:t>) enantiomers, as well as different compounds comprising diverse substituents in R</w:t>
      </w:r>
      <w:r w:rsidRPr="0045043E">
        <w:rPr>
          <w:iCs/>
          <w:vertAlign w:val="superscript"/>
          <w:lang w:val="en-US"/>
        </w:rPr>
        <w:t>1</w:t>
      </w:r>
      <w:r>
        <w:rPr>
          <w:iCs/>
          <w:lang w:val="en-US"/>
        </w:rPr>
        <w:t xml:space="preserve"> position. The UM-UC-3 bladder cancer cell line proved to be slightly less sensitive to the compounds than MV-4-11, with over 3-fold difference for </w:t>
      </w:r>
      <w:r>
        <w:rPr>
          <w:b/>
          <w:iCs/>
          <w:lang w:val="en-US"/>
        </w:rPr>
        <w:t>8e</w:t>
      </w:r>
      <w:r>
        <w:rPr>
          <w:iCs/>
          <w:lang w:val="en-US"/>
        </w:rPr>
        <w:t xml:space="preserve">. However, a high antiproliferative activity of the </w:t>
      </w:r>
      <w:r w:rsidRPr="007D61EA">
        <w:rPr>
          <w:b/>
          <w:iCs/>
          <w:lang w:val="en-US"/>
        </w:rPr>
        <w:t>8e</w:t>
      </w:r>
      <w:r>
        <w:rPr>
          <w:iCs/>
          <w:lang w:val="en-US"/>
        </w:rPr>
        <w:t xml:space="preserve"> — the representative (</w:t>
      </w:r>
      <w:r>
        <w:rPr>
          <w:i/>
          <w:iCs/>
          <w:lang w:val="en-US"/>
        </w:rPr>
        <w:t>S</w:t>
      </w:r>
      <w:r>
        <w:rPr>
          <w:iCs/>
          <w:lang w:val="en-US"/>
        </w:rPr>
        <w:t>)-enantiomer with a large hydrophobic moiety present at the R</w:t>
      </w:r>
      <w:r w:rsidRPr="007D61EA">
        <w:rPr>
          <w:iCs/>
          <w:vertAlign w:val="superscript"/>
          <w:lang w:val="en-US"/>
        </w:rPr>
        <w:t>1</w:t>
      </w:r>
      <w:r>
        <w:rPr>
          <w:iCs/>
          <w:lang w:val="en-US"/>
        </w:rPr>
        <w:t xml:space="preserve"> position — makes it a good candidate for further modifications, since its activity is significantly higher than the (</w:t>
      </w:r>
      <w:r w:rsidRPr="003C7EAC">
        <w:rPr>
          <w:i/>
          <w:iCs/>
          <w:lang w:val="en-US"/>
        </w:rPr>
        <w:t>R</w:t>
      </w:r>
      <w:r>
        <w:rPr>
          <w:iCs/>
          <w:lang w:val="en-US"/>
        </w:rPr>
        <w:t>) analogue (</w:t>
      </w:r>
      <w:r w:rsidRPr="003C7EAC">
        <w:rPr>
          <w:b/>
          <w:iCs/>
          <w:lang w:val="en-US"/>
        </w:rPr>
        <w:t>8k</w:t>
      </w:r>
      <w:r>
        <w:rPr>
          <w:iCs/>
          <w:lang w:val="en-US"/>
        </w:rPr>
        <w:t>).</w:t>
      </w:r>
    </w:p>
    <w:p w:rsidR="00AB7090" w:rsidRPr="00660472" w:rsidRDefault="00AB7090" w:rsidP="009323AD">
      <w:pPr>
        <w:spacing w:line="360" w:lineRule="auto"/>
        <w:jc w:val="both"/>
        <w:rPr>
          <w:iCs/>
          <w:lang w:val="en-US"/>
        </w:rPr>
      </w:pPr>
      <w:r>
        <w:rPr>
          <w:iCs/>
          <w:lang w:val="en-US"/>
        </w:rPr>
        <w:t xml:space="preserve">Based on the results of the first stage, additional compounds were synthesized, with modifications introduced at the </w:t>
      </w:r>
      <w:r w:rsidRPr="00773EDA">
        <w:rPr>
          <w:lang w:val="en-US"/>
        </w:rPr>
        <w:t>8</w:t>
      </w:r>
      <w:r>
        <w:rPr>
          <w:iCs/>
          <w:lang w:val="en-US"/>
        </w:rPr>
        <w:t xml:space="preserve"> position of the anthramycin phenyl ring and lactam moiety. They were tested on a broader set of cancer cell lines, as well as on normal murine fibroblasts (Balb/3T3), used as a reference normal cell line. As expected, </w:t>
      </w:r>
      <w:r>
        <w:rPr>
          <w:b/>
          <w:iCs/>
          <w:lang w:val="en-US"/>
        </w:rPr>
        <w:t>8o</w:t>
      </w:r>
      <w:r>
        <w:rPr>
          <w:iCs/>
          <w:lang w:val="en-US"/>
        </w:rPr>
        <w:t xml:space="preserve"> with free carboxylic moiety proved to be completely inactive against all of the cell lines used, probably because of the lack of proper membrane transporter and disruption of passive diffusion with a presence of electric charge. At the same time, its benzyl ester (</w:t>
      </w:r>
      <w:r w:rsidRPr="006C69C6">
        <w:rPr>
          <w:b/>
          <w:iCs/>
          <w:lang w:val="en-US"/>
        </w:rPr>
        <w:t>8n</w:t>
      </w:r>
      <w:r>
        <w:rPr>
          <w:iCs/>
          <w:lang w:val="en-US"/>
        </w:rPr>
        <w:t xml:space="preserve">) showed much higher activity. In the case of LoVo (colon adenocarcinoma) and A2780 (ovary cancer) cell lines, its activity was even higher than for </w:t>
      </w:r>
      <w:r w:rsidRPr="006C69C6">
        <w:rPr>
          <w:b/>
          <w:iCs/>
          <w:lang w:val="en-US"/>
        </w:rPr>
        <w:t>8e</w:t>
      </w:r>
      <w:r>
        <w:rPr>
          <w:iCs/>
          <w:lang w:val="en-US"/>
        </w:rPr>
        <w:t xml:space="preserve">. From the aryl halides analogues of </w:t>
      </w:r>
      <w:r w:rsidRPr="00DC46C1">
        <w:rPr>
          <w:b/>
          <w:iCs/>
          <w:lang w:val="en-US"/>
        </w:rPr>
        <w:t>8e</w:t>
      </w:r>
      <w:r>
        <w:rPr>
          <w:b/>
          <w:iCs/>
          <w:lang w:val="en-US"/>
        </w:rPr>
        <w:t xml:space="preserve"> </w:t>
      </w:r>
      <w:r>
        <w:rPr>
          <w:iCs/>
          <w:lang w:val="en-US"/>
        </w:rPr>
        <w:t xml:space="preserve">(namely </w:t>
      </w:r>
      <w:r w:rsidRPr="00DC46C1">
        <w:rPr>
          <w:b/>
          <w:iCs/>
          <w:lang w:val="en-US"/>
        </w:rPr>
        <w:t>8f</w:t>
      </w:r>
      <w:r>
        <w:rPr>
          <w:iCs/>
          <w:lang w:val="en-US"/>
        </w:rPr>
        <w:t xml:space="preserve"> and </w:t>
      </w:r>
      <w:r>
        <w:rPr>
          <w:b/>
          <w:iCs/>
          <w:lang w:val="en-US"/>
        </w:rPr>
        <w:t>8g</w:t>
      </w:r>
      <w:r>
        <w:rPr>
          <w:iCs/>
          <w:lang w:val="en-US"/>
        </w:rPr>
        <w:t xml:space="preserve"> containing chlorine and bromine, respectively), </w:t>
      </w:r>
      <w:r w:rsidRPr="00DC46C1">
        <w:rPr>
          <w:b/>
          <w:iCs/>
          <w:lang w:val="en-US"/>
        </w:rPr>
        <w:t>8g</w:t>
      </w:r>
      <w:r>
        <w:rPr>
          <w:iCs/>
          <w:lang w:val="en-US"/>
        </w:rPr>
        <w:t xml:space="preserve"> proved to be the most potent, especially towards the HT-29 cell line (colon carcinoma), where it was almost ten times more potent than the original compound (</w:t>
      </w:r>
      <w:r w:rsidRPr="0038304A">
        <w:rPr>
          <w:b/>
          <w:iCs/>
          <w:lang w:val="en-US"/>
        </w:rPr>
        <w:t>8e</w:t>
      </w:r>
      <w:r>
        <w:rPr>
          <w:iCs/>
          <w:lang w:val="en-US"/>
        </w:rPr>
        <w:t xml:space="preserve">). The compounds </w:t>
      </w:r>
      <w:r w:rsidRPr="00DA18D6">
        <w:rPr>
          <w:b/>
          <w:iCs/>
          <w:lang w:val="en-US"/>
        </w:rPr>
        <w:t>8g</w:t>
      </w:r>
      <w:r>
        <w:rPr>
          <w:b/>
          <w:iCs/>
          <w:lang w:val="en-US"/>
        </w:rPr>
        <w:t xml:space="preserve"> </w:t>
      </w:r>
      <w:r w:rsidRPr="00DA18D6">
        <w:rPr>
          <w:iCs/>
          <w:lang w:val="en-US"/>
        </w:rPr>
        <w:t>and</w:t>
      </w:r>
      <w:r>
        <w:rPr>
          <w:iCs/>
          <w:lang w:val="en-US"/>
        </w:rPr>
        <w:t xml:space="preserve"> </w:t>
      </w:r>
      <w:r w:rsidRPr="00DA18D6">
        <w:rPr>
          <w:b/>
          <w:iCs/>
          <w:lang w:val="en-US"/>
        </w:rPr>
        <w:t>8m</w:t>
      </w:r>
      <w:r>
        <w:rPr>
          <w:iCs/>
          <w:lang w:val="en-US"/>
        </w:rPr>
        <w:t xml:space="preserve"> were almost two times more active than </w:t>
      </w:r>
      <w:r w:rsidRPr="00DA18D6">
        <w:rPr>
          <w:b/>
          <w:iCs/>
          <w:lang w:val="en-US"/>
        </w:rPr>
        <w:t>8e</w:t>
      </w:r>
      <w:r>
        <w:rPr>
          <w:b/>
          <w:iCs/>
          <w:lang w:val="en-US"/>
        </w:rPr>
        <w:t xml:space="preserve">, </w:t>
      </w:r>
      <w:r>
        <w:rPr>
          <w:iCs/>
          <w:lang w:val="en-US"/>
        </w:rPr>
        <w:t xml:space="preserve">against the MV-4-11 cell line. At the same time, all modifications led to a decrease in the antiproliferative activity towards UM-UC-3 cell line. Based on the compound antiproliferative effect, the set of cell lines used in the present study can be divided into two groups those for which (with some exceptions) further modifications of </w:t>
      </w:r>
      <w:r w:rsidRPr="00DC46C1">
        <w:rPr>
          <w:b/>
          <w:iCs/>
          <w:lang w:val="en-US"/>
        </w:rPr>
        <w:t>8e</w:t>
      </w:r>
      <w:r>
        <w:rPr>
          <w:iCs/>
          <w:lang w:val="en-US"/>
        </w:rPr>
        <w:t xml:space="preserve"> led to more active compounds (such as </w:t>
      </w:r>
      <w:r w:rsidRPr="0076351E">
        <w:rPr>
          <w:b/>
          <w:iCs/>
          <w:lang w:val="en-US"/>
        </w:rPr>
        <w:t>8g</w:t>
      </w:r>
      <w:r>
        <w:rPr>
          <w:iCs/>
          <w:lang w:val="en-US"/>
        </w:rPr>
        <w:t xml:space="preserve">, </w:t>
      </w:r>
      <w:r w:rsidRPr="0076351E">
        <w:rPr>
          <w:b/>
          <w:iCs/>
          <w:lang w:val="en-US"/>
        </w:rPr>
        <w:t>8m</w:t>
      </w:r>
      <w:r>
        <w:rPr>
          <w:iCs/>
          <w:lang w:val="en-US"/>
        </w:rPr>
        <w:t xml:space="preserve"> on MV-4-11, LoVo) and those for which the antiproliferative activity diminished as a result of introduced modifications. The causes underlying these discrepancies are</w:t>
      </w:r>
      <w:r w:rsidRPr="00DA18D6">
        <w:rPr>
          <w:iCs/>
          <w:lang w:val="en-US"/>
        </w:rPr>
        <w:t xml:space="preserve"> </w:t>
      </w:r>
      <w:r>
        <w:rPr>
          <w:iCs/>
          <w:lang w:val="en-US"/>
        </w:rPr>
        <w:t xml:space="preserve">largely unknown at the moment and will be a subject of intensive studies in the future. </w:t>
      </w:r>
      <w:r w:rsidRPr="00660472">
        <w:rPr>
          <w:iCs/>
          <w:lang w:val="en-US"/>
        </w:rPr>
        <w:t xml:space="preserve">All compounds tested showed lower activity in comparison to cisplatin, however most likely they do not share a common mechanism of action. Additionally , newly synthesized compounds with </w:t>
      </w:r>
      <w:r w:rsidRPr="00660472">
        <w:rPr>
          <w:i/>
          <w:iCs/>
          <w:lang w:val="en-US"/>
        </w:rPr>
        <w:t>in vitro</w:t>
      </w:r>
      <w:r w:rsidRPr="00660472">
        <w:rPr>
          <w:iCs/>
          <w:lang w:val="en-US"/>
        </w:rPr>
        <w:t xml:space="preserve"> activity below 10µM in antiproliferative assay, are a good starting point for subsequent modifications in the future.</w:t>
      </w: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iCs/>
          <w:lang w:val="en-US"/>
        </w:rPr>
      </w:pPr>
    </w:p>
    <w:p w:rsidR="00AB7090" w:rsidRDefault="00AB7090" w:rsidP="00117300">
      <w:pPr>
        <w:spacing w:line="360" w:lineRule="auto"/>
        <w:jc w:val="both"/>
        <w:rPr>
          <w:b/>
          <w:iCs/>
          <w:lang w:val="en-US"/>
        </w:rPr>
        <w:sectPr w:rsidR="00AB7090" w:rsidSect="00747ECC">
          <w:endnotePr>
            <w:numFmt w:val="decimal"/>
          </w:endnotePr>
          <w:pgSz w:w="12240" w:h="15840"/>
          <w:pgMar w:top="1440" w:right="1608" w:bottom="1440" w:left="1800" w:header="720" w:footer="720" w:gutter="0"/>
          <w:cols w:space="720"/>
          <w:docGrid w:linePitch="360"/>
        </w:sectPr>
      </w:pPr>
    </w:p>
    <w:p w:rsidR="00AB7090" w:rsidRDefault="00AB7090" w:rsidP="00117300">
      <w:pPr>
        <w:spacing w:line="360" w:lineRule="auto"/>
        <w:jc w:val="both"/>
        <w:rPr>
          <w:iCs/>
          <w:lang w:val="en-US"/>
        </w:rPr>
      </w:pPr>
      <w:r w:rsidRPr="009F469F">
        <w:rPr>
          <w:b/>
          <w:iCs/>
          <w:lang w:val="en-US"/>
        </w:rPr>
        <w:t>TABLE 2.</w:t>
      </w:r>
      <w:r w:rsidRPr="009F469F">
        <w:rPr>
          <w:iCs/>
          <w:lang w:val="en-US"/>
        </w:rPr>
        <w:t xml:space="preserve"> Detailed antiproliferative activity of </w:t>
      </w:r>
      <w:r w:rsidRPr="009F469F">
        <w:rPr>
          <w:b/>
          <w:iCs/>
          <w:lang w:val="en-US"/>
        </w:rPr>
        <w:t>8e-o</w:t>
      </w:r>
      <w:r w:rsidRPr="009F469F">
        <w:rPr>
          <w:iCs/>
          <w:lang w:val="en-US"/>
        </w:rPr>
        <w:t xml:space="preserve"> derivatives</w:t>
      </w:r>
      <w:r>
        <w:rPr>
          <w:iCs/>
          <w:lang w:val="en-US"/>
        </w:rPr>
        <w:t xml:space="preserve"> on MV-4-11 and UM-UC-3, MDA-MB-231, MCF-7, LoVo, HT-29, A-549, A2780 and BALB/3T3 cell lines</w:t>
      </w:r>
    </w:p>
    <w:p w:rsidR="00AB7090" w:rsidRDefault="00AB7090" w:rsidP="00117300">
      <w:pPr>
        <w:spacing w:line="360" w:lineRule="auto"/>
        <w:jc w:val="both"/>
        <w:rPr>
          <w:iCs/>
          <w:lang w:val="en-US"/>
        </w:rPr>
      </w:pPr>
    </w:p>
    <w:tbl>
      <w:tblPr>
        <w:tblW w:w="1549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4"/>
        <w:gridCol w:w="740"/>
        <w:gridCol w:w="830"/>
        <w:gridCol w:w="740"/>
        <w:gridCol w:w="803"/>
        <w:gridCol w:w="851"/>
        <w:gridCol w:w="735"/>
        <w:gridCol w:w="740"/>
        <w:gridCol w:w="860"/>
        <w:gridCol w:w="851"/>
        <w:gridCol w:w="759"/>
        <w:gridCol w:w="851"/>
        <w:gridCol w:w="784"/>
        <w:gridCol w:w="851"/>
        <w:gridCol w:w="823"/>
        <w:gridCol w:w="851"/>
        <w:gridCol w:w="727"/>
        <w:gridCol w:w="987"/>
        <w:gridCol w:w="759"/>
      </w:tblGrid>
      <w:tr w:rsidR="00AB7090" w:rsidRPr="003572DB" w:rsidTr="00CB5091">
        <w:trPr>
          <w:trHeight w:val="318"/>
        </w:trPr>
        <w:tc>
          <w:tcPr>
            <w:tcW w:w="954" w:type="dxa"/>
            <w:vMerge w:val="restart"/>
            <w:tcBorders>
              <w:left w:val="nil"/>
              <w:bottom w:val="nil"/>
              <w:right w:val="nil"/>
            </w:tcBorders>
            <w:shd w:val="clear" w:color="auto" w:fill="D9D9D9"/>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Compd no.</w:t>
            </w:r>
          </w:p>
        </w:tc>
        <w:tc>
          <w:tcPr>
            <w:tcW w:w="14542" w:type="dxa"/>
            <w:gridSpan w:val="18"/>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IC</w:t>
            </w:r>
            <w:r w:rsidRPr="003572DB">
              <w:rPr>
                <w:rFonts w:ascii="Calibri" w:hAnsi="Calibri"/>
                <w:b/>
                <w:bCs/>
                <w:iCs/>
                <w:sz w:val="22"/>
                <w:szCs w:val="22"/>
                <w:vertAlign w:val="subscript"/>
              </w:rPr>
              <w:t>50</w:t>
            </w:r>
            <w:r w:rsidRPr="003572DB">
              <w:rPr>
                <w:rFonts w:ascii="Calibri" w:hAnsi="Calibri"/>
                <w:b/>
                <w:bCs/>
                <w:iCs/>
                <w:sz w:val="22"/>
                <w:szCs w:val="22"/>
              </w:rPr>
              <w:t xml:space="preserve"> ± SD [µM]</w:t>
            </w:r>
          </w:p>
        </w:tc>
      </w:tr>
      <w:tr w:rsidR="00AB7090" w:rsidRPr="003572DB" w:rsidTr="00CB5091">
        <w:trPr>
          <w:trHeight w:val="318"/>
        </w:trPr>
        <w:tc>
          <w:tcPr>
            <w:tcW w:w="954" w:type="dxa"/>
            <w:vMerge/>
            <w:tcBorders>
              <w:top w:val="nil"/>
              <w:left w:val="nil"/>
              <w:right w:val="nil"/>
            </w:tcBorders>
            <w:shd w:val="clear" w:color="auto" w:fill="D9D9D9"/>
            <w:vAlign w:val="bottom"/>
          </w:tcPr>
          <w:p w:rsidR="00AB7090" w:rsidRPr="003572DB" w:rsidRDefault="00AB7090" w:rsidP="00CB5091">
            <w:pPr>
              <w:widowControl w:val="0"/>
              <w:contextualSpacing/>
              <w:jc w:val="right"/>
              <w:rPr>
                <w:rFonts w:ascii="Calibri" w:hAnsi="Calibri"/>
                <w:b/>
                <w:bCs/>
                <w:iCs/>
                <w:u w:val="single"/>
              </w:rPr>
            </w:pPr>
          </w:p>
        </w:tc>
        <w:tc>
          <w:tcPr>
            <w:tcW w:w="1570"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MV-4-11</w:t>
            </w:r>
          </w:p>
        </w:tc>
        <w:tc>
          <w:tcPr>
            <w:tcW w:w="1543"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UMUC-3</w:t>
            </w:r>
          </w:p>
        </w:tc>
        <w:tc>
          <w:tcPr>
            <w:tcW w:w="1586"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MDA-MB-231</w:t>
            </w:r>
          </w:p>
        </w:tc>
        <w:tc>
          <w:tcPr>
            <w:tcW w:w="1600"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MCF7</w:t>
            </w:r>
          </w:p>
        </w:tc>
        <w:tc>
          <w:tcPr>
            <w:tcW w:w="1610"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LoVo</w:t>
            </w:r>
          </w:p>
        </w:tc>
        <w:tc>
          <w:tcPr>
            <w:tcW w:w="1635"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HT-29</w:t>
            </w:r>
          </w:p>
        </w:tc>
        <w:tc>
          <w:tcPr>
            <w:tcW w:w="1674"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A-549</w:t>
            </w:r>
          </w:p>
        </w:tc>
        <w:tc>
          <w:tcPr>
            <w:tcW w:w="1578"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A2780</w:t>
            </w:r>
          </w:p>
        </w:tc>
        <w:tc>
          <w:tcPr>
            <w:tcW w:w="1746" w:type="dxa"/>
            <w:gridSpan w:val="2"/>
            <w:tcBorders>
              <w:left w:val="nil"/>
              <w:right w:val="nil"/>
            </w:tcBorders>
            <w:shd w:val="clear" w:color="auto" w:fill="D9D9D9"/>
            <w:noWrap/>
            <w:vAlign w:val="center"/>
          </w:tcPr>
          <w:p w:rsidR="00AB7090" w:rsidRPr="003572DB" w:rsidRDefault="00AB7090" w:rsidP="00CB5091">
            <w:pPr>
              <w:widowControl w:val="0"/>
              <w:contextualSpacing/>
              <w:jc w:val="center"/>
              <w:rPr>
                <w:rFonts w:ascii="Calibri" w:hAnsi="Calibri"/>
                <w:b/>
                <w:bCs/>
                <w:iCs/>
              </w:rPr>
            </w:pPr>
            <w:r w:rsidRPr="003572DB">
              <w:rPr>
                <w:rFonts w:ascii="Calibri" w:hAnsi="Calibri"/>
                <w:b/>
                <w:bCs/>
                <w:iCs/>
                <w:sz w:val="22"/>
                <w:szCs w:val="22"/>
              </w:rPr>
              <w:t>BALB/3T3</w:t>
            </w:r>
          </w:p>
        </w:tc>
      </w:tr>
      <w:tr w:rsidR="00AB7090" w:rsidRPr="003572DB" w:rsidTr="00CB5091">
        <w:trPr>
          <w:trHeight w:val="277"/>
        </w:trPr>
        <w:tc>
          <w:tcPr>
            <w:tcW w:w="954" w:type="dxa"/>
            <w:tcBorders>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8e</w:t>
            </w:r>
          </w:p>
        </w:tc>
        <w:tc>
          <w:tcPr>
            <w:tcW w:w="740"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17.5</w:t>
            </w:r>
          </w:p>
        </w:tc>
        <w:tc>
          <w:tcPr>
            <w:tcW w:w="830"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2.4</w:t>
            </w:r>
          </w:p>
        </w:tc>
        <w:tc>
          <w:tcPr>
            <w:tcW w:w="740"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61.5</w:t>
            </w:r>
          </w:p>
        </w:tc>
        <w:tc>
          <w:tcPr>
            <w:tcW w:w="803"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12.9</w:t>
            </w:r>
          </w:p>
        </w:tc>
        <w:tc>
          <w:tcPr>
            <w:tcW w:w="851"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141.0</w:t>
            </w:r>
          </w:p>
        </w:tc>
        <w:tc>
          <w:tcPr>
            <w:tcW w:w="735"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25.6</w:t>
            </w:r>
          </w:p>
        </w:tc>
        <w:tc>
          <w:tcPr>
            <w:tcW w:w="740"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47.3</w:t>
            </w:r>
          </w:p>
        </w:tc>
        <w:tc>
          <w:tcPr>
            <w:tcW w:w="860"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9.2</w:t>
            </w:r>
          </w:p>
        </w:tc>
        <w:tc>
          <w:tcPr>
            <w:tcW w:w="851"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55.0</w:t>
            </w:r>
          </w:p>
        </w:tc>
        <w:tc>
          <w:tcPr>
            <w:tcW w:w="759"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16.2</w:t>
            </w:r>
          </w:p>
        </w:tc>
        <w:tc>
          <w:tcPr>
            <w:tcW w:w="851"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154.5</w:t>
            </w:r>
          </w:p>
        </w:tc>
        <w:tc>
          <w:tcPr>
            <w:tcW w:w="784"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15.6</w:t>
            </w:r>
          </w:p>
        </w:tc>
        <w:tc>
          <w:tcPr>
            <w:tcW w:w="851"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96.1</w:t>
            </w:r>
          </w:p>
        </w:tc>
        <w:tc>
          <w:tcPr>
            <w:tcW w:w="823"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18.7</w:t>
            </w:r>
          </w:p>
        </w:tc>
        <w:tc>
          <w:tcPr>
            <w:tcW w:w="851"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35.8</w:t>
            </w:r>
          </w:p>
        </w:tc>
        <w:tc>
          <w:tcPr>
            <w:tcW w:w="727"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7.8</w:t>
            </w:r>
          </w:p>
        </w:tc>
        <w:tc>
          <w:tcPr>
            <w:tcW w:w="987" w:type="dxa"/>
            <w:tcBorders>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79.6</w:t>
            </w:r>
          </w:p>
        </w:tc>
        <w:tc>
          <w:tcPr>
            <w:tcW w:w="759" w:type="dxa"/>
            <w:tcBorders>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5.1</w:t>
            </w:r>
          </w:p>
        </w:tc>
      </w:tr>
      <w:tr w:rsidR="00AB7090" w:rsidRPr="003572DB" w:rsidTr="00CB5091">
        <w:trPr>
          <w:trHeight w:val="277"/>
        </w:trPr>
        <w:tc>
          <w:tcPr>
            <w:tcW w:w="954" w:type="dxa"/>
            <w:tcBorders>
              <w:top w:val="nil"/>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8f</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40.7</w:t>
            </w:r>
          </w:p>
        </w:tc>
        <w:tc>
          <w:tcPr>
            <w:tcW w:w="83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13.5</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94.4</w:t>
            </w:r>
          </w:p>
        </w:tc>
        <w:tc>
          <w:tcPr>
            <w:tcW w:w="80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10.3</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85.8</w:t>
            </w:r>
          </w:p>
        </w:tc>
        <w:tc>
          <w:tcPr>
            <w:tcW w:w="735"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15.4</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50.9</w:t>
            </w:r>
          </w:p>
        </w:tc>
        <w:tc>
          <w:tcPr>
            <w:tcW w:w="86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4.9</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28.9</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4.4</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46.4</w:t>
            </w:r>
          </w:p>
        </w:tc>
        <w:tc>
          <w:tcPr>
            <w:tcW w:w="784"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9.3</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51.0</w:t>
            </w:r>
          </w:p>
        </w:tc>
        <w:tc>
          <w:tcPr>
            <w:tcW w:w="82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17.2</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29.7</w:t>
            </w:r>
          </w:p>
        </w:tc>
        <w:tc>
          <w:tcPr>
            <w:tcW w:w="727"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0.1</w:t>
            </w:r>
          </w:p>
        </w:tc>
        <w:tc>
          <w:tcPr>
            <w:tcW w:w="987"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104.6</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35.5</w:t>
            </w:r>
          </w:p>
        </w:tc>
      </w:tr>
      <w:tr w:rsidR="00AB7090" w:rsidRPr="003572DB" w:rsidTr="00CB5091">
        <w:trPr>
          <w:trHeight w:val="277"/>
        </w:trPr>
        <w:tc>
          <w:tcPr>
            <w:tcW w:w="954" w:type="dxa"/>
            <w:tcBorders>
              <w:top w:val="nil"/>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8g</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8.7</w:t>
            </w:r>
          </w:p>
        </w:tc>
        <w:tc>
          <w:tcPr>
            <w:tcW w:w="83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3.5</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118.8</w:t>
            </w:r>
          </w:p>
        </w:tc>
        <w:tc>
          <w:tcPr>
            <w:tcW w:w="80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41.3</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113.0</w:t>
            </w:r>
          </w:p>
        </w:tc>
        <w:tc>
          <w:tcPr>
            <w:tcW w:w="735"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18.1</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57.0</w:t>
            </w:r>
          </w:p>
        </w:tc>
        <w:tc>
          <w:tcPr>
            <w:tcW w:w="86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22.7</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22.1</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0.8</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17.9</w:t>
            </w:r>
          </w:p>
        </w:tc>
        <w:tc>
          <w:tcPr>
            <w:tcW w:w="784"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3.9</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48.1</w:t>
            </w:r>
          </w:p>
        </w:tc>
        <w:tc>
          <w:tcPr>
            <w:tcW w:w="82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9.6</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28.2</w:t>
            </w:r>
          </w:p>
        </w:tc>
        <w:tc>
          <w:tcPr>
            <w:tcW w:w="727"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6.5</w:t>
            </w:r>
          </w:p>
        </w:tc>
        <w:tc>
          <w:tcPr>
            <w:tcW w:w="987"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120.6</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48.8</w:t>
            </w:r>
          </w:p>
        </w:tc>
      </w:tr>
      <w:tr w:rsidR="00AB7090" w:rsidRPr="003572DB" w:rsidTr="00CB5091">
        <w:trPr>
          <w:trHeight w:val="277"/>
        </w:trPr>
        <w:tc>
          <w:tcPr>
            <w:tcW w:w="954" w:type="dxa"/>
            <w:tcBorders>
              <w:top w:val="nil"/>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8l</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63.1</w:t>
            </w:r>
          </w:p>
        </w:tc>
        <w:tc>
          <w:tcPr>
            <w:tcW w:w="83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0.2</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103.2</w:t>
            </w:r>
          </w:p>
        </w:tc>
        <w:tc>
          <w:tcPr>
            <w:tcW w:w="80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14.8</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134.0</w:t>
            </w:r>
          </w:p>
        </w:tc>
        <w:tc>
          <w:tcPr>
            <w:tcW w:w="735"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6.1</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77.5</w:t>
            </w:r>
          </w:p>
        </w:tc>
        <w:tc>
          <w:tcPr>
            <w:tcW w:w="86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8.1</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58.3</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2.5</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94.2</w:t>
            </w:r>
          </w:p>
        </w:tc>
        <w:tc>
          <w:tcPr>
            <w:tcW w:w="784"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16.0</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92.0</w:t>
            </w:r>
          </w:p>
        </w:tc>
        <w:tc>
          <w:tcPr>
            <w:tcW w:w="82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6.9</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64.5</w:t>
            </w:r>
          </w:p>
        </w:tc>
        <w:tc>
          <w:tcPr>
            <w:tcW w:w="727"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9.4</w:t>
            </w:r>
          </w:p>
        </w:tc>
        <w:tc>
          <w:tcPr>
            <w:tcW w:w="987"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[37.0]*</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7.2</w:t>
            </w:r>
          </w:p>
        </w:tc>
      </w:tr>
      <w:tr w:rsidR="00AB7090" w:rsidRPr="003572DB" w:rsidTr="00CB5091">
        <w:trPr>
          <w:trHeight w:val="277"/>
        </w:trPr>
        <w:tc>
          <w:tcPr>
            <w:tcW w:w="954" w:type="dxa"/>
            <w:tcBorders>
              <w:top w:val="nil"/>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8m</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10.8</w:t>
            </w:r>
          </w:p>
        </w:tc>
        <w:tc>
          <w:tcPr>
            <w:tcW w:w="83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3.9</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135.7</w:t>
            </w:r>
          </w:p>
        </w:tc>
        <w:tc>
          <w:tcPr>
            <w:tcW w:w="80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38.7</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[41.0]*</w:t>
            </w:r>
          </w:p>
        </w:tc>
        <w:tc>
          <w:tcPr>
            <w:tcW w:w="735"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1.3</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35.8</w:t>
            </w:r>
          </w:p>
        </w:tc>
        <w:tc>
          <w:tcPr>
            <w:tcW w:w="86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12.2</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11.0</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1.0</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143.5</w:t>
            </w:r>
          </w:p>
        </w:tc>
        <w:tc>
          <w:tcPr>
            <w:tcW w:w="784"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52.2</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105.9</w:t>
            </w:r>
          </w:p>
        </w:tc>
        <w:tc>
          <w:tcPr>
            <w:tcW w:w="82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25.6</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62.8</w:t>
            </w:r>
          </w:p>
        </w:tc>
        <w:tc>
          <w:tcPr>
            <w:tcW w:w="727"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19.6</w:t>
            </w:r>
          </w:p>
        </w:tc>
        <w:tc>
          <w:tcPr>
            <w:tcW w:w="987"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136.3</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56.6</w:t>
            </w:r>
          </w:p>
        </w:tc>
      </w:tr>
      <w:tr w:rsidR="00AB7090" w:rsidRPr="003572DB" w:rsidTr="00CB5091">
        <w:trPr>
          <w:trHeight w:val="277"/>
        </w:trPr>
        <w:tc>
          <w:tcPr>
            <w:tcW w:w="954" w:type="dxa"/>
            <w:tcBorders>
              <w:top w:val="nil"/>
              <w:left w:val="nil"/>
              <w:bottom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8n</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44.2</w:t>
            </w:r>
          </w:p>
        </w:tc>
        <w:tc>
          <w:tcPr>
            <w:tcW w:w="83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15.8</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96.8</w:t>
            </w:r>
          </w:p>
        </w:tc>
        <w:tc>
          <w:tcPr>
            <w:tcW w:w="80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29.1</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[30.3]*</w:t>
            </w:r>
          </w:p>
        </w:tc>
        <w:tc>
          <w:tcPr>
            <w:tcW w:w="735"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11.1</w:t>
            </w:r>
          </w:p>
        </w:tc>
        <w:tc>
          <w:tcPr>
            <w:tcW w:w="740"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146.6</w:t>
            </w:r>
          </w:p>
        </w:tc>
        <w:tc>
          <w:tcPr>
            <w:tcW w:w="860"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36.5</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23.1</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1.7</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[40.1]*</w:t>
            </w:r>
          </w:p>
        </w:tc>
        <w:tc>
          <w:tcPr>
            <w:tcW w:w="784"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6.7</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[34.1]*</w:t>
            </w:r>
          </w:p>
        </w:tc>
        <w:tc>
          <w:tcPr>
            <w:tcW w:w="823"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14.3</w:t>
            </w:r>
          </w:p>
        </w:tc>
        <w:tc>
          <w:tcPr>
            <w:tcW w:w="851"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28.0</w:t>
            </w:r>
          </w:p>
        </w:tc>
        <w:tc>
          <w:tcPr>
            <w:tcW w:w="727"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3.8</w:t>
            </w:r>
          </w:p>
        </w:tc>
        <w:tc>
          <w:tcPr>
            <w:tcW w:w="987" w:type="dxa"/>
            <w:tcBorders>
              <w:top w:val="nil"/>
              <w:left w:val="nil"/>
              <w:bottom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[31.0]*</w:t>
            </w:r>
          </w:p>
        </w:tc>
        <w:tc>
          <w:tcPr>
            <w:tcW w:w="759" w:type="dxa"/>
            <w:tcBorders>
              <w:top w:val="nil"/>
              <w:left w:val="nil"/>
              <w:bottom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2.7</w:t>
            </w:r>
          </w:p>
        </w:tc>
      </w:tr>
      <w:tr w:rsidR="00AB7090" w:rsidRPr="003572DB" w:rsidTr="00CB5091">
        <w:trPr>
          <w:trHeight w:val="277"/>
        </w:trPr>
        <w:tc>
          <w:tcPr>
            <w:tcW w:w="954" w:type="dxa"/>
            <w:tcBorders>
              <w:top w:val="nil"/>
              <w:left w:val="nil"/>
              <w:right w:val="nil"/>
            </w:tcBorders>
            <w:noWrap/>
            <w:vAlign w:val="bottom"/>
          </w:tcPr>
          <w:p w:rsidR="00AB7090" w:rsidRPr="003572DB" w:rsidRDefault="00AB7090" w:rsidP="00CB5091">
            <w:pPr>
              <w:widowControl w:val="0"/>
              <w:contextualSpacing/>
              <w:jc w:val="right"/>
              <w:rPr>
                <w:rFonts w:ascii="Calibri" w:hAnsi="Calibri"/>
                <w:b/>
                <w:bCs/>
                <w:iCs/>
              </w:rPr>
            </w:pPr>
            <w:r w:rsidRPr="003572DB">
              <w:rPr>
                <w:rFonts w:ascii="Calibri" w:hAnsi="Calibri"/>
                <w:b/>
                <w:bCs/>
                <w:iCs/>
                <w:sz w:val="22"/>
                <w:szCs w:val="22"/>
              </w:rPr>
              <w:t>8o</w:t>
            </w:r>
          </w:p>
        </w:tc>
        <w:tc>
          <w:tcPr>
            <w:tcW w:w="740"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[7.6]*</w:t>
            </w:r>
          </w:p>
        </w:tc>
        <w:tc>
          <w:tcPr>
            <w:tcW w:w="830"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3.5</w:t>
            </w:r>
          </w:p>
        </w:tc>
        <w:tc>
          <w:tcPr>
            <w:tcW w:w="740"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[3.0]*</w:t>
            </w:r>
          </w:p>
        </w:tc>
        <w:tc>
          <w:tcPr>
            <w:tcW w:w="803"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2.9</w:t>
            </w:r>
          </w:p>
        </w:tc>
        <w:tc>
          <w:tcPr>
            <w:tcW w:w="851"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[7.8]*</w:t>
            </w:r>
          </w:p>
        </w:tc>
        <w:tc>
          <w:tcPr>
            <w:tcW w:w="735"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1.1</w:t>
            </w:r>
          </w:p>
        </w:tc>
        <w:tc>
          <w:tcPr>
            <w:tcW w:w="740"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[7.6]*</w:t>
            </w:r>
          </w:p>
        </w:tc>
        <w:tc>
          <w:tcPr>
            <w:tcW w:w="860"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10.5</w:t>
            </w:r>
          </w:p>
        </w:tc>
        <w:tc>
          <w:tcPr>
            <w:tcW w:w="851"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[27.6]*</w:t>
            </w:r>
          </w:p>
        </w:tc>
        <w:tc>
          <w:tcPr>
            <w:tcW w:w="759"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6.0</w:t>
            </w:r>
          </w:p>
        </w:tc>
        <w:tc>
          <w:tcPr>
            <w:tcW w:w="851"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[17.8]*</w:t>
            </w:r>
          </w:p>
        </w:tc>
        <w:tc>
          <w:tcPr>
            <w:tcW w:w="784"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0.5</w:t>
            </w:r>
          </w:p>
        </w:tc>
        <w:tc>
          <w:tcPr>
            <w:tcW w:w="851"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[3.2]*</w:t>
            </w:r>
          </w:p>
        </w:tc>
        <w:tc>
          <w:tcPr>
            <w:tcW w:w="823"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0.1</w:t>
            </w:r>
          </w:p>
        </w:tc>
        <w:tc>
          <w:tcPr>
            <w:tcW w:w="851"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[19.6]*</w:t>
            </w:r>
          </w:p>
        </w:tc>
        <w:tc>
          <w:tcPr>
            <w:tcW w:w="727"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1.5</w:t>
            </w:r>
          </w:p>
        </w:tc>
        <w:tc>
          <w:tcPr>
            <w:tcW w:w="987" w:type="dxa"/>
            <w:tcBorders>
              <w:top w:val="nil"/>
              <w:left w:val="nil"/>
              <w:right w:val="nil"/>
            </w:tcBorders>
            <w:noWrap/>
            <w:vAlign w:val="center"/>
          </w:tcPr>
          <w:p w:rsidR="00AB7090" w:rsidRPr="003572DB" w:rsidRDefault="00AB7090" w:rsidP="00CB5091">
            <w:pPr>
              <w:widowControl w:val="0"/>
              <w:contextualSpacing/>
              <w:jc w:val="right"/>
              <w:rPr>
                <w:rFonts w:ascii="Calibri" w:hAnsi="Calibri"/>
                <w:iCs/>
              </w:rPr>
            </w:pPr>
            <w:r w:rsidRPr="003572DB">
              <w:rPr>
                <w:rFonts w:ascii="Calibri" w:hAnsi="Calibri"/>
                <w:iCs/>
                <w:sz w:val="22"/>
                <w:szCs w:val="22"/>
              </w:rPr>
              <w:t>[15.0]*</w:t>
            </w:r>
          </w:p>
        </w:tc>
        <w:tc>
          <w:tcPr>
            <w:tcW w:w="759"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sidRPr="003572DB">
              <w:rPr>
                <w:rFonts w:ascii="Calibri" w:hAnsi="Calibri"/>
                <w:iCs/>
                <w:sz w:val="18"/>
                <w:szCs w:val="22"/>
              </w:rPr>
              <w:t>± 2.6</w:t>
            </w:r>
          </w:p>
        </w:tc>
      </w:tr>
      <w:tr w:rsidR="00AB7090" w:rsidRPr="003572DB" w:rsidTr="00CB5091">
        <w:trPr>
          <w:trHeight w:val="277"/>
        </w:trPr>
        <w:tc>
          <w:tcPr>
            <w:tcW w:w="954" w:type="dxa"/>
            <w:tcBorders>
              <w:top w:val="nil"/>
              <w:left w:val="nil"/>
              <w:right w:val="nil"/>
            </w:tcBorders>
            <w:noWrap/>
            <w:vAlign w:val="bottom"/>
          </w:tcPr>
          <w:p w:rsidR="00AB7090" w:rsidRPr="003572DB" w:rsidRDefault="00AB7090" w:rsidP="00CB5091">
            <w:pPr>
              <w:widowControl w:val="0"/>
              <w:contextualSpacing/>
              <w:jc w:val="right"/>
              <w:rPr>
                <w:rFonts w:ascii="Calibri" w:hAnsi="Calibri"/>
                <w:b/>
                <w:bCs/>
                <w:iCs/>
              </w:rPr>
            </w:pPr>
            <w:r>
              <w:rPr>
                <w:rFonts w:ascii="Calibri" w:hAnsi="Calibri"/>
                <w:b/>
                <w:bCs/>
                <w:iCs/>
                <w:sz w:val="22"/>
                <w:szCs w:val="22"/>
              </w:rPr>
              <w:t>Cisplatin</w:t>
            </w:r>
          </w:p>
        </w:tc>
        <w:tc>
          <w:tcPr>
            <w:tcW w:w="740"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0.84</w:t>
            </w:r>
          </w:p>
        </w:tc>
        <w:tc>
          <w:tcPr>
            <w:tcW w:w="830"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0.25</w:t>
            </w:r>
          </w:p>
        </w:tc>
        <w:tc>
          <w:tcPr>
            <w:tcW w:w="740"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4.89</w:t>
            </w:r>
          </w:p>
        </w:tc>
        <w:tc>
          <w:tcPr>
            <w:tcW w:w="803"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1.16</w:t>
            </w:r>
          </w:p>
        </w:tc>
        <w:tc>
          <w:tcPr>
            <w:tcW w:w="851"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5.31</w:t>
            </w:r>
          </w:p>
        </w:tc>
        <w:tc>
          <w:tcPr>
            <w:tcW w:w="735"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1.55</w:t>
            </w:r>
          </w:p>
        </w:tc>
        <w:tc>
          <w:tcPr>
            <w:tcW w:w="740"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2.48</w:t>
            </w:r>
          </w:p>
        </w:tc>
        <w:tc>
          <w:tcPr>
            <w:tcW w:w="860"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0.98</w:t>
            </w:r>
          </w:p>
        </w:tc>
        <w:tc>
          <w:tcPr>
            <w:tcW w:w="851"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1.16</w:t>
            </w:r>
          </w:p>
        </w:tc>
        <w:tc>
          <w:tcPr>
            <w:tcW w:w="759"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0.14</w:t>
            </w:r>
          </w:p>
        </w:tc>
        <w:tc>
          <w:tcPr>
            <w:tcW w:w="851"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3.18</w:t>
            </w:r>
          </w:p>
        </w:tc>
        <w:tc>
          <w:tcPr>
            <w:tcW w:w="784"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1.71</w:t>
            </w:r>
          </w:p>
        </w:tc>
        <w:tc>
          <w:tcPr>
            <w:tcW w:w="851"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Pr>
                <w:rFonts w:ascii="Calibri" w:hAnsi="Calibri"/>
                <w:b/>
                <w:iCs/>
                <w:sz w:val="22"/>
                <w:szCs w:val="22"/>
              </w:rPr>
              <w:t>1.68</w:t>
            </w:r>
          </w:p>
        </w:tc>
        <w:tc>
          <w:tcPr>
            <w:tcW w:w="823"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0.16</w:t>
            </w:r>
          </w:p>
        </w:tc>
        <w:tc>
          <w:tcPr>
            <w:tcW w:w="851"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0.43</w:t>
            </w:r>
          </w:p>
        </w:tc>
        <w:tc>
          <w:tcPr>
            <w:tcW w:w="727"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0.11</w:t>
            </w:r>
          </w:p>
        </w:tc>
        <w:tc>
          <w:tcPr>
            <w:tcW w:w="987" w:type="dxa"/>
            <w:tcBorders>
              <w:top w:val="nil"/>
              <w:left w:val="nil"/>
              <w:right w:val="nil"/>
            </w:tcBorders>
            <w:noWrap/>
            <w:vAlign w:val="center"/>
          </w:tcPr>
          <w:p w:rsidR="00AB7090" w:rsidRPr="00C01C37" w:rsidRDefault="00AB7090" w:rsidP="00CB5091">
            <w:pPr>
              <w:widowControl w:val="0"/>
              <w:contextualSpacing/>
              <w:jc w:val="right"/>
              <w:rPr>
                <w:rFonts w:ascii="Calibri" w:hAnsi="Calibri"/>
                <w:b/>
                <w:iCs/>
              </w:rPr>
            </w:pPr>
            <w:r w:rsidRPr="00C01C37">
              <w:rPr>
                <w:rFonts w:ascii="Calibri" w:hAnsi="Calibri"/>
                <w:b/>
                <w:iCs/>
                <w:sz w:val="22"/>
                <w:szCs w:val="22"/>
              </w:rPr>
              <w:t>2.17</w:t>
            </w:r>
          </w:p>
        </w:tc>
        <w:tc>
          <w:tcPr>
            <w:tcW w:w="759" w:type="dxa"/>
            <w:tcBorders>
              <w:top w:val="nil"/>
              <w:left w:val="nil"/>
              <w:right w:val="nil"/>
            </w:tcBorders>
            <w:noWrap/>
            <w:vAlign w:val="bottom"/>
          </w:tcPr>
          <w:p w:rsidR="00AB7090" w:rsidRPr="003572DB" w:rsidRDefault="00AB7090" w:rsidP="00CB5091">
            <w:pPr>
              <w:widowControl w:val="0"/>
              <w:contextualSpacing/>
              <w:rPr>
                <w:rFonts w:ascii="Calibri" w:hAnsi="Calibri"/>
                <w:iCs/>
                <w:sz w:val="18"/>
              </w:rPr>
            </w:pPr>
            <w:r>
              <w:rPr>
                <w:rFonts w:ascii="Calibri" w:hAnsi="Calibri"/>
                <w:iCs/>
                <w:sz w:val="18"/>
                <w:szCs w:val="22"/>
              </w:rPr>
              <w:t>± 0.51</w:t>
            </w:r>
          </w:p>
        </w:tc>
      </w:tr>
      <w:tr w:rsidR="00AB7090" w:rsidRPr="006039BC" w:rsidTr="00CB5091">
        <w:trPr>
          <w:trHeight w:val="277"/>
        </w:trPr>
        <w:tc>
          <w:tcPr>
            <w:tcW w:w="15496" w:type="dxa"/>
            <w:gridSpan w:val="19"/>
            <w:tcBorders>
              <w:left w:val="nil"/>
              <w:right w:val="nil"/>
            </w:tcBorders>
            <w:shd w:val="clear" w:color="auto" w:fill="D9D9D9"/>
            <w:noWrap/>
            <w:vAlign w:val="center"/>
          </w:tcPr>
          <w:p w:rsidR="00AB7090" w:rsidRPr="003572DB" w:rsidRDefault="00AB7090" w:rsidP="00CB5091">
            <w:pPr>
              <w:widowControl w:val="0"/>
              <w:contextualSpacing/>
              <w:rPr>
                <w:rFonts w:ascii="Calibri" w:hAnsi="Calibri"/>
                <w:iCs/>
                <w:lang w:val="en-US"/>
              </w:rPr>
            </w:pPr>
            <w:r w:rsidRPr="003572DB">
              <w:rPr>
                <w:rFonts w:ascii="Calibri" w:hAnsi="Calibri"/>
                <w:iCs/>
                <w:sz w:val="22"/>
                <w:szCs w:val="22"/>
                <w:lang w:val="en-US"/>
              </w:rPr>
              <w:t>* - proliferation inhibition at highest concentration used - 200 µM</w:t>
            </w:r>
          </w:p>
        </w:tc>
      </w:tr>
    </w:tbl>
    <w:p w:rsidR="00AB7090" w:rsidRDefault="00AB7090" w:rsidP="008B6673">
      <w:pPr>
        <w:rPr>
          <w:lang w:val="en-US"/>
        </w:rPr>
        <w:sectPr w:rsidR="00AB7090" w:rsidSect="008B6673">
          <w:endnotePr>
            <w:numFmt w:val="decimal"/>
          </w:endnotePr>
          <w:pgSz w:w="15840" w:h="12240" w:orient="landscape"/>
          <w:pgMar w:top="1613" w:right="1440" w:bottom="1800" w:left="1440" w:header="720" w:footer="720" w:gutter="0"/>
          <w:cols w:space="720"/>
          <w:docGrid w:linePitch="360"/>
        </w:sectPr>
      </w:pPr>
    </w:p>
    <w:p w:rsidR="00AB7090" w:rsidRDefault="00AB7090" w:rsidP="009323AD">
      <w:pPr>
        <w:spacing w:line="360" w:lineRule="auto"/>
        <w:jc w:val="both"/>
        <w:rPr>
          <w:iCs/>
          <w:lang w:val="en-US"/>
        </w:rPr>
      </w:pPr>
      <w:r>
        <w:rPr>
          <w:iCs/>
          <w:lang w:val="en-US"/>
        </w:rPr>
        <w:t xml:space="preserve">Based on the results of antiproliferative activity screening, we selected two compounds, </w:t>
      </w:r>
      <w:r w:rsidRPr="0038304A">
        <w:rPr>
          <w:b/>
          <w:iCs/>
          <w:lang w:val="en-US"/>
        </w:rPr>
        <w:t>8e</w:t>
      </w:r>
      <w:r>
        <w:rPr>
          <w:iCs/>
          <w:lang w:val="en-US"/>
        </w:rPr>
        <w:t xml:space="preserve"> and </w:t>
      </w:r>
      <w:r w:rsidRPr="0038304A">
        <w:rPr>
          <w:b/>
          <w:iCs/>
          <w:lang w:val="en-US"/>
        </w:rPr>
        <w:t>8m</w:t>
      </w:r>
      <w:r>
        <w:rPr>
          <w:b/>
          <w:iCs/>
          <w:lang w:val="en-US"/>
        </w:rPr>
        <w:t>,</w:t>
      </w:r>
      <w:r w:rsidRPr="0038304A">
        <w:rPr>
          <w:iCs/>
          <w:lang w:val="en-US"/>
        </w:rPr>
        <w:t xml:space="preserve"> for</w:t>
      </w:r>
      <w:r>
        <w:rPr>
          <w:iCs/>
          <w:lang w:val="en-US"/>
        </w:rPr>
        <w:t xml:space="preserve"> </w:t>
      </w:r>
      <w:r w:rsidRPr="0038304A">
        <w:rPr>
          <w:iCs/>
          <w:lang w:val="en-US"/>
        </w:rPr>
        <w:t>follow</w:t>
      </w:r>
      <w:r>
        <w:rPr>
          <w:iCs/>
          <w:lang w:val="en-US"/>
        </w:rPr>
        <w:t xml:space="preserve">-up studies, in order to evaluate their mechanism of action. The compound </w:t>
      </w:r>
      <w:r>
        <w:rPr>
          <w:b/>
          <w:iCs/>
          <w:lang w:val="en-US"/>
        </w:rPr>
        <w:t>8e</w:t>
      </w:r>
      <w:r>
        <w:rPr>
          <w:iCs/>
          <w:lang w:val="en-US"/>
        </w:rPr>
        <w:t xml:space="preserve"> was used as a reference, while the </w:t>
      </w:r>
      <w:r>
        <w:rPr>
          <w:b/>
          <w:iCs/>
          <w:lang w:val="en-US"/>
        </w:rPr>
        <w:t>8m</w:t>
      </w:r>
      <w:r>
        <w:rPr>
          <w:iCs/>
          <w:lang w:val="en-US"/>
        </w:rPr>
        <w:t xml:space="preserve"> was selected mainly because of its high differences in the activity between the MV-4-11, LoVo, MCF-7 cell lines on one side, and UM-UC-3, MDA-MB-231, HT-29 on the other. It should be noted that, at the same time, </w:t>
      </w:r>
      <w:r w:rsidRPr="00E32C23">
        <w:rPr>
          <w:b/>
          <w:iCs/>
          <w:lang w:val="en-US"/>
        </w:rPr>
        <w:t>8m</w:t>
      </w:r>
      <w:r>
        <w:rPr>
          <w:iCs/>
          <w:lang w:val="en-US"/>
        </w:rPr>
        <w:t xml:space="preserve"> exhibited a relatively low toxicity towards the Balb/3T3 cell line.</w:t>
      </w:r>
    </w:p>
    <w:p w:rsidR="00AB7090" w:rsidRDefault="00AB7090" w:rsidP="009323AD">
      <w:pPr>
        <w:spacing w:line="360" w:lineRule="auto"/>
        <w:jc w:val="both"/>
        <w:rPr>
          <w:iCs/>
          <w:lang w:val="en-US"/>
        </w:rPr>
      </w:pPr>
      <w:r>
        <w:rPr>
          <w:iCs/>
          <w:lang w:val="en-US"/>
        </w:rPr>
        <w:t xml:space="preserve">First, the potential as apoptosis inducers was evaluated, by caspase-3 activity analysis after 24 h incubation with the selected compounds at various concentrations (Fig. 4). Both compounds induced caspase-3 activation in the MV-4-11 cell line, in a dose-dependent manner. It should be noted though, that </w:t>
      </w:r>
      <w:r w:rsidRPr="00F7450F">
        <w:rPr>
          <w:b/>
          <w:iCs/>
          <w:lang w:val="en-US"/>
        </w:rPr>
        <w:t>8m</w:t>
      </w:r>
      <w:r>
        <w:rPr>
          <w:iCs/>
          <w:lang w:val="en-US"/>
        </w:rPr>
        <w:t xml:space="preserve"> showed slightly lower apoptosis induction potential than </w:t>
      </w:r>
      <w:r w:rsidRPr="00F7450F">
        <w:rPr>
          <w:b/>
          <w:iCs/>
          <w:lang w:val="en-US"/>
        </w:rPr>
        <w:t>8e</w:t>
      </w:r>
      <w:r>
        <w:rPr>
          <w:iCs/>
          <w:lang w:val="en-US"/>
        </w:rPr>
        <w:t xml:space="preserve"> at 100 µM concentration, but at the same time, its activity diminishes much slower with the decrease of concentration — the phenomenon readily visible for both compounds at 20 µM. The UM-UC-3 cell line proved to be less susceptible to the caspase-3 activation by </w:t>
      </w:r>
      <w:r w:rsidRPr="00886069">
        <w:rPr>
          <w:b/>
          <w:iCs/>
          <w:lang w:val="en-US"/>
        </w:rPr>
        <w:t>8</w:t>
      </w:r>
      <w:r>
        <w:rPr>
          <w:b/>
          <w:iCs/>
          <w:lang w:val="en-US"/>
        </w:rPr>
        <w:t xml:space="preserve">e </w:t>
      </w:r>
      <w:r>
        <w:rPr>
          <w:b/>
          <w:iCs/>
          <w:lang w:val="en-US"/>
        </w:rPr>
        <w:softHyphen/>
        <w:t>—</w:t>
      </w:r>
      <w:r w:rsidRPr="00886069">
        <w:rPr>
          <w:b/>
          <w:iCs/>
          <w:lang w:val="en-US"/>
        </w:rPr>
        <w:t xml:space="preserve"> </w:t>
      </w:r>
      <w:r w:rsidRPr="00886069">
        <w:rPr>
          <w:iCs/>
          <w:lang w:val="en-US"/>
        </w:rPr>
        <w:t>a</w:t>
      </w:r>
      <w:r>
        <w:rPr>
          <w:iCs/>
          <w:lang w:val="en-US"/>
        </w:rPr>
        <w:t xml:space="preserve">t the highest concentration used, the observed caspase activity was over two times lower than in the MV-4-11 cell line. Low antiproliferative activity of </w:t>
      </w:r>
      <w:r w:rsidRPr="00886069">
        <w:rPr>
          <w:b/>
          <w:iCs/>
          <w:lang w:val="en-US"/>
        </w:rPr>
        <w:t>8</w:t>
      </w:r>
      <w:r>
        <w:rPr>
          <w:b/>
          <w:iCs/>
          <w:lang w:val="en-US"/>
        </w:rPr>
        <w:t>m</w:t>
      </w:r>
      <w:r>
        <w:rPr>
          <w:iCs/>
          <w:lang w:val="en-US"/>
        </w:rPr>
        <w:t xml:space="preserve"> towards UM-UC-3 was confirmed in apoptosis studies; limited activation of the caspase-3, as well as phosphatidylserine translocation to the outer leaflet of the membrane, were observed at any compound concentration used. Flow cytometry studies for annexin V binding acknowledge previously described results and confirm high proapoptotic potential of </w:t>
      </w:r>
      <w:r w:rsidRPr="0092674E">
        <w:rPr>
          <w:b/>
          <w:iCs/>
          <w:lang w:val="en-US"/>
        </w:rPr>
        <w:t>8m</w:t>
      </w:r>
      <w:r>
        <w:rPr>
          <w:b/>
          <w:iCs/>
          <w:lang w:val="en-US"/>
        </w:rPr>
        <w:t xml:space="preserve"> </w:t>
      </w:r>
      <w:r>
        <w:rPr>
          <w:iCs/>
          <w:lang w:val="en-US"/>
        </w:rPr>
        <w:t>in</w:t>
      </w:r>
      <w:r w:rsidRPr="00280E48">
        <w:rPr>
          <w:iCs/>
          <w:lang w:val="en-US"/>
        </w:rPr>
        <w:t xml:space="preserve"> MV-4-11</w:t>
      </w:r>
      <w:r>
        <w:rPr>
          <w:iCs/>
          <w:lang w:val="en-US"/>
        </w:rPr>
        <w:t>.</w:t>
      </w:r>
    </w:p>
    <w:p w:rsidR="00AB7090" w:rsidRDefault="00AB7090" w:rsidP="00B7417B">
      <w:pPr>
        <w:spacing w:line="360" w:lineRule="auto"/>
        <w:jc w:val="both"/>
        <w:rPr>
          <w:iCs/>
          <w:lang w:val="en-US"/>
        </w:rPr>
      </w:pPr>
      <w:r>
        <w:rPr>
          <w:iCs/>
          <w:lang w:val="en-US"/>
        </w:rPr>
        <w:t>In order to evaluate if and when the observed undergoing apoptosis is accompanied by a cell cycle arrest, we analyzed the cell cycle distribution after 24 h of treatment with the studied compounds (Fig. 5). A significant decrease in G</w:t>
      </w:r>
      <w:r>
        <w:rPr>
          <w:iCs/>
          <w:vertAlign w:val="subscript"/>
          <w:lang w:val="en-US"/>
        </w:rPr>
        <w:t>2</w:t>
      </w:r>
      <w:r>
        <w:rPr>
          <w:iCs/>
          <w:lang w:val="en-US"/>
        </w:rPr>
        <w:t xml:space="preserve">/M and S subpopulations, accompanied by an increase in </w:t>
      </w:r>
      <w:r w:rsidRPr="00A76A3A">
        <w:rPr>
          <w:iCs/>
          <w:lang w:val="en-US"/>
        </w:rPr>
        <w:t>G</w:t>
      </w:r>
      <w:r w:rsidRPr="00280E48">
        <w:rPr>
          <w:iCs/>
          <w:vertAlign w:val="subscript"/>
          <w:lang w:val="en-US"/>
        </w:rPr>
        <w:t>0</w:t>
      </w:r>
      <w:r>
        <w:rPr>
          <w:iCs/>
          <w:lang w:val="en-US"/>
        </w:rPr>
        <w:t>/</w:t>
      </w:r>
      <w:r w:rsidRPr="00A76A3A">
        <w:rPr>
          <w:iCs/>
          <w:lang w:val="en-US"/>
        </w:rPr>
        <w:t>G</w:t>
      </w:r>
      <w:r w:rsidRPr="00280E48">
        <w:rPr>
          <w:iCs/>
          <w:vertAlign w:val="subscript"/>
          <w:lang w:val="en-US"/>
        </w:rPr>
        <w:t>1</w:t>
      </w:r>
      <w:r>
        <w:rPr>
          <w:iCs/>
          <w:lang w:val="en-US"/>
        </w:rPr>
        <w:t xml:space="preserve"> and sub-G</w:t>
      </w:r>
      <w:r w:rsidRPr="00A76A3A">
        <w:rPr>
          <w:iCs/>
          <w:vertAlign w:val="subscript"/>
          <w:lang w:val="en-US"/>
        </w:rPr>
        <w:t>0</w:t>
      </w:r>
      <w:r w:rsidRPr="00660050">
        <w:rPr>
          <w:iCs/>
          <w:lang w:val="en-US"/>
        </w:rPr>
        <w:t>,</w:t>
      </w:r>
      <w:r>
        <w:rPr>
          <w:iCs/>
          <w:lang w:val="en-US"/>
        </w:rPr>
        <w:t xml:space="preserve"> was observed in MV-4-11 cells, after treatment with </w:t>
      </w:r>
      <w:r w:rsidRPr="00A76A3A">
        <w:rPr>
          <w:b/>
          <w:iCs/>
          <w:lang w:val="en-US"/>
        </w:rPr>
        <w:t>8e</w:t>
      </w:r>
      <w:r>
        <w:rPr>
          <w:iCs/>
          <w:lang w:val="en-US"/>
        </w:rPr>
        <w:t xml:space="preserve"> and </w:t>
      </w:r>
      <w:r w:rsidRPr="00A76A3A">
        <w:rPr>
          <w:b/>
          <w:iCs/>
          <w:lang w:val="en-US"/>
        </w:rPr>
        <w:t>8m</w:t>
      </w:r>
      <w:r w:rsidRPr="00A76A3A">
        <w:rPr>
          <w:iCs/>
          <w:lang w:val="en-US"/>
        </w:rPr>
        <w:t>, especially</w:t>
      </w:r>
      <w:r>
        <w:rPr>
          <w:b/>
          <w:iCs/>
          <w:lang w:val="en-US"/>
        </w:rPr>
        <w:t xml:space="preserve"> </w:t>
      </w:r>
      <w:r w:rsidRPr="00A76A3A">
        <w:rPr>
          <w:iCs/>
          <w:lang w:val="en-US"/>
        </w:rPr>
        <w:t>at 100 µM</w:t>
      </w:r>
      <w:r>
        <w:rPr>
          <w:iCs/>
          <w:lang w:val="en-US"/>
        </w:rPr>
        <w:t xml:space="preserve"> concentration, where </w:t>
      </w:r>
      <w:r w:rsidRPr="00C54BC0">
        <w:rPr>
          <w:b/>
          <w:iCs/>
          <w:lang w:val="en-US"/>
        </w:rPr>
        <w:t>8m</w:t>
      </w:r>
      <w:r>
        <w:rPr>
          <w:iCs/>
          <w:lang w:val="en-US"/>
        </w:rPr>
        <w:t xml:space="preserve"> almost completely eliminated G</w:t>
      </w:r>
      <w:r w:rsidRPr="00C54BC0">
        <w:rPr>
          <w:iCs/>
          <w:vertAlign w:val="subscript"/>
          <w:lang w:val="en-US"/>
        </w:rPr>
        <w:t>2</w:t>
      </w:r>
      <w:r>
        <w:rPr>
          <w:iCs/>
          <w:lang w:val="en-US"/>
        </w:rPr>
        <w:t xml:space="preserve">/M population. Similarly to the results of proapoptotic activity, the influence of </w:t>
      </w:r>
      <w:r w:rsidRPr="00A76A3A">
        <w:rPr>
          <w:b/>
          <w:iCs/>
          <w:lang w:val="en-US"/>
        </w:rPr>
        <w:t>8m</w:t>
      </w:r>
      <w:r>
        <w:rPr>
          <w:b/>
          <w:iCs/>
          <w:lang w:val="en-US"/>
        </w:rPr>
        <w:t xml:space="preserve"> </w:t>
      </w:r>
      <w:r w:rsidRPr="00A76A3A">
        <w:rPr>
          <w:iCs/>
          <w:lang w:val="en-US"/>
        </w:rPr>
        <w:t>on</w:t>
      </w:r>
      <w:r>
        <w:rPr>
          <w:b/>
          <w:iCs/>
          <w:lang w:val="en-US"/>
        </w:rPr>
        <w:t xml:space="preserve"> </w:t>
      </w:r>
      <w:r w:rsidRPr="00B7417B">
        <w:rPr>
          <w:bCs/>
          <w:iCs/>
          <w:lang w:val="en-US"/>
        </w:rPr>
        <w:t xml:space="preserve">the </w:t>
      </w:r>
      <w:r>
        <w:rPr>
          <w:iCs/>
          <w:lang w:val="en-US"/>
        </w:rPr>
        <w:t xml:space="preserve">cell cycle distribution was more pronounced than that observed for </w:t>
      </w:r>
      <w:r w:rsidRPr="00C54BC0">
        <w:rPr>
          <w:b/>
          <w:iCs/>
          <w:lang w:val="en-US"/>
        </w:rPr>
        <w:t>8e</w:t>
      </w:r>
      <w:r>
        <w:rPr>
          <w:iCs/>
          <w:lang w:val="en-US"/>
        </w:rPr>
        <w:t>. At the same time, no significant differences were observed in the UM-UC-3 cell line after treatment with any of the studied compounds, even at higher concentrations. These results suggest that tested anthramycin analogues induced apoptosis is an outcome of the cell cycle arrest in the G</w:t>
      </w:r>
      <w:r w:rsidRPr="00C54BC0">
        <w:rPr>
          <w:iCs/>
          <w:vertAlign w:val="subscript"/>
          <w:lang w:val="en-US"/>
        </w:rPr>
        <w:t>1</w:t>
      </w:r>
      <w:r>
        <w:rPr>
          <w:iCs/>
          <w:lang w:val="en-US"/>
        </w:rPr>
        <w:t>/S checkpoint.</w:t>
      </w:r>
    </w:p>
    <w:p w:rsidR="00AB7090" w:rsidRDefault="00AB7090" w:rsidP="007B7062">
      <w:pPr>
        <w:spacing w:line="360" w:lineRule="auto"/>
        <w:jc w:val="both"/>
        <w:rPr>
          <w:iCs/>
          <w:lang w:val="en-US"/>
        </w:rPr>
      </w:pPr>
      <w:r>
        <w:rPr>
          <w:iCs/>
          <w:lang w:val="en-US"/>
        </w:rPr>
        <w:t>Next, we tested if the selected anthramycin analogues are capable of inducing oxidative stress, which is very often associated with apoptosis. We observed</w:t>
      </w:r>
      <w:r w:rsidRPr="0083564D">
        <w:rPr>
          <w:iCs/>
          <w:lang w:val="en-US"/>
        </w:rPr>
        <w:t xml:space="preserve"> </w:t>
      </w:r>
      <w:r>
        <w:rPr>
          <w:iCs/>
          <w:lang w:val="en-US"/>
        </w:rPr>
        <w:t xml:space="preserve">a dose-dependent increase of reactive oxygen species production, after 6 h of treatment with </w:t>
      </w:r>
      <w:r w:rsidRPr="004522B2">
        <w:rPr>
          <w:b/>
          <w:iCs/>
          <w:lang w:val="en-US"/>
        </w:rPr>
        <w:t>8m</w:t>
      </w:r>
      <w:r>
        <w:rPr>
          <w:iCs/>
          <w:lang w:val="en-US"/>
        </w:rPr>
        <w:t xml:space="preserve"> at various concentrations, in the both cell lines used. The compound </w:t>
      </w:r>
      <w:r w:rsidRPr="004522B2">
        <w:rPr>
          <w:b/>
          <w:iCs/>
          <w:lang w:val="en-US"/>
        </w:rPr>
        <w:t>8e</w:t>
      </w:r>
      <w:r>
        <w:rPr>
          <w:iCs/>
          <w:lang w:val="en-US"/>
        </w:rPr>
        <w:t xml:space="preserve"> was a visibly less potent inducer of oxidative stress (Fig 6). A high level of ROS in UM-UC-3 cells after treatment with </w:t>
      </w:r>
      <w:r w:rsidRPr="004522B2">
        <w:rPr>
          <w:b/>
          <w:iCs/>
          <w:lang w:val="en-US"/>
        </w:rPr>
        <w:t>8m</w:t>
      </w:r>
      <w:r>
        <w:rPr>
          <w:iCs/>
          <w:lang w:val="en-US"/>
        </w:rPr>
        <w:t xml:space="preserve"> is surprising, since it does not correlate with its low proapoptotic potential, thus suggesting that reactive oxygen species overproduction is not directly associated with the compound’s antiproliferative activity.</w:t>
      </w:r>
    </w:p>
    <w:p w:rsidR="00AB7090" w:rsidRDefault="00AB7090" w:rsidP="006B3FC7">
      <w:pPr>
        <w:spacing w:line="360" w:lineRule="auto"/>
        <w:ind w:left="-1418"/>
        <w:jc w:val="center"/>
        <w:rPr>
          <w:iCs/>
          <w:lang w:val="en-US"/>
        </w:rPr>
      </w:pPr>
      <w:r w:rsidRPr="006D07DA">
        <w:rPr>
          <w:iCs/>
          <w:lang w:val="en-US"/>
        </w:rPr>
        <w:object w:dxaOrig="11650" w:dyaOrig="5556">
          <v:shape id="_x0000_i1032" type="#_x0000_t75" style="width:547.5pt;height:261pt" o:ole="" filled="t">
            <v:imagedata r:id="rId19" o:title=""/>
          </v:shape>
          <o:OLEObject Type="Embed" ProgID="Prism7.Document" ShapeID="_x0000_i1032" DrawAspect="Content" ObjectID="_1577638296" r:id="rId20"/>
        </w:object>
      </w:r>
    </w:p>
    <w:p w:rsidR="00AB7090" w:rsidRDefault="00AB7090" w:rsidP="007B7062">
      <w:pPr>
        <w:spacing w:line="360" w:lineRule="auto"/>
        <w:jc w:val="both"/>
        <w:rPr>
          <w:iCs/>
          <w:lang w:val="en-US"/>
        </w:rPr>
      </w:pPr>
      <w:bookmarkStart w:id="1" w:name="OLE_LINK1"/>
      <w:r w:rsidRPr="00C07FC4">
        <w:rPr>
          <w:b/>
          <w:iCs/>
          <w:lang w:val="en-US"/>
        </w:rPr>
        <w:t>Fig 4.</w:t>
      </w:r>
      <w:r>
        <w:rPr>
          <w:iCs/>
          <w:lang w:val="en-US"/>
        </w:rPr>
        <w:t xml:space="preserve"> Comparison of the proapoptotic potential of </w:t>
      </w:r>
      <w:r w:rsidRPr="00532987">
        <w:rPr>
          <w:b/>
          <w:iCs/>
          <w:lang w:val="en-US"/>
        </w:rPr>
        <w:t>8e</w:t>
      </w:r>
      <w:r>
        <w:rPr>
          <w:iCs/>
          <w:lang w:val="en-US"/>
        </w:rPr>
        <w:t xml:space="preserve"> and </w:t>
      </w:r>
      <w:r w:rsidRPr="00532987">
        <w:rPr>
          <w:b/>
          <w:iCs/>
          <w:lang w:val="en-US"/>
        </w:rPr>
        <w:t>8m</w:t>
      </w:r>
      <w:r>
        <w:rPr>
          <w:b/>
          <w:iCs/>
          <w:lang w:val="en-US"/>
        </w:rPr>
        <w:t xml:space="preserve"> </w:t>
      </w:r>
      <w:r w:rsidRPr="002D7FE2">
        <w:rPr>
          <w:iCs/>
          <w:lang w:val="en-US"/>
        </w:rPr>
        <w:t>in</w:t>
      </w:r>
      <w:r>
        <w:rPr>
          <w:iCs/>
          <w:lang w:val="en-US"/>
        </w:rPr>
        <w:t xml:space="preserve"> MV-4-11 (A, C, E) and UM-UC-3 (B, D, F) cell lines. (A, B) Induction of the caspase-3 activity was assessed after 24 h treatment with various concentrations of compounds. (C, D) Percentage of apoptotic cells was determined by flow cytometry, using annexin-V/PI. (E, F) Representative images for annexin-V/PI are presented.</w:t>
      </w:r>
      <w:bookmarkEnd w:id="1"/>
    </w:p>
    <w:p w:rsidR="00AB7090" w:rsidRDefault="00AB7090" w:rsidP="006B3FC7">
      <w:pPr>
        <w:spacing w:line="360" w:lineRule="auto"/>
        <w:ind w:left="-1418"/>
        <w:jc w:val="center"/>
        <w:rPr>
          <w:iCs/>
          <w:lang w:val="en-US"/>
        </w:rPr>
      </w:pPr>
      <w:r w:rsidRPr="006D07DA">
        <w:rPr>
          <w:iCs/>
          <w:lang w:val="en-US"/>
        </w:rPr>
        <w:object w:dxaOrig="11650" w:dyaOrig="5119">
          <v:shape id="_x0000_i1033" type="#_x0000_t75" style="width:582.5pt;height:253.5pt" o:ole="" filled="t">
            <v:imagedata r:id="rId21" o:title=""/>
          </v:shape>
          <o:OLEObject Type="Embed" ProgID="Prism7.Document" ShapeID="_x0000_i1033" DrawAspect="Content" ObjectID="_1577638297" r:id="rId22"/>
        </w:object>
      </w:r>
    </w:p>
    <w:p w:rsidR="00AB7090" w:rsidRPr="00532987" w:rsidRDefault="00AB7090" w:rsidP="007B7062">
      <w:pPr>
        <w:spacing w:line="360" w:lineRule="auto"/>
        <w:jc w:val="both"/>
        <w:rPr>
          <w:iCs/>
          <w:lang w:val="en-US"/>
        </w:rPr>
      </w:pPr>
      <w:r w:rsidRPr="00C07FC4">
        <w:rPr>
          <w:b/>
          <w:iCs/>
          <w:lang w:val="en-US"/>
        </w:rPr>
        <w:t>Fig 5.</w:t>
      </w:r>
      <w:r>
        <w:rPr>
          <w:iCs/>
          <w:lang w:val="en-US"/>
        </w:rPr>
        <w:t xml:space="preserve"> Comparison of the potential of </w:t>
      </w:r>
      <w:r w:rsidRPr="00532987">
        <w:rPr>
          <w:b/>
          <w:iCs/>
          <w:lang w:val="en-US"/>
        </w:rPr>
        <w:t>8e</w:t>
      </w:r>
      <w:r>
        <w:rPr>
          <w:iCs/>
          <w:lang w:val="en-US"/>
        </w:rPr>
        <w:t xml:space="preserve"> and </w:t>
      </w:r>
      <w:r w:rsidRPr="00532987">
        <w:rPr>
          <w:b/>
          <w:iCs/>
          <w:lang w:val="en-US"/>
        </w:rPr>
        <w:t>8m</w:t>
      </w:r>
      <w:r>
        <w:rPr>
          <w:b/>
          <w:iCs/>
          <w:lang w:val="en-US"/>
        </w:rPr>
        <w:t xml:space="preserve"> </w:t>
      </w:r>
      <w:r>
        <w:rPr>
          <w:iCs/>
          <w:lang w:val="en-US"/>
        </w:rPr>
        <w:t>as cell cycle arrest inducers in MV-4-11 (A, C) and UM-UC-3 (B, D) cell lines. (A, B) Cell cycle distribution was assessed after 24 h of treatment with various concentrations of compounds. (C, D) Only selected representative histograms are presented.</w:t>
      </w:r>
    </w:p>
    <w:p w:rsidR="00AB7090" w:rsidRDefault="00AB7090" w:rsidP="00532987">
      <w:pPr>
        <w:spacing w:line="360" w:lineRule="auto"/>
        <w:ind w:left="-1418"/>
        <w:jc w:val="both"/>
        <w:rPr>
          <w:iCs/>
          <w:lang w:val="en-US"/>
        </w:rPr>
      </w:pPr>
    </w:p>
    <w:p w:rsidR="00AB7090" w:rsidRDefault="00AB7090" w:rsidP="006B3FC7">
      <w:pPr>
        <w:spacing w:line="360" w:lineRule="auto"/>
        <w:ind w:left="-1418"/>
        <w:jc w:val="center"/>
        <w:rPr>
          <w:iCs/>
          <w:lang w:val="en-US"/>
        </w:rPr>
      </w:pPr>
    </w:p>
    <w:p w:rsidR="00AB7090" w:rsidRDefault="00AB7090" w:rsidP="00117300">
      <w:pPr>
        <w:spacing w:line="360" w:lineRule="auto"/>
        <w:jc w:val="both"/>
        <w:rPr>
          <w:iCs/>
          <w:lang w:val="en-US"/>
        </w:rPr>
      </w:pPr>
    </w:p>
    <w:p w:rsidR="00AB7090" w:rsidRDefault="00AB7090" w:rsidP="002E6002">
      <w:pPr>
        <w:spacing w:line="360" w:lineRule="auto"/>
        <w:ind w:left="-1560" w:right="-999"/>
        <w:jc w:val="both"/>
        <w:rPr>
          <w:iCs/>
          <w:lang w:val="en-US"/>
        </w:rPr>
      </w:pPr>
    </w:p>
    <w:p w:rsidR="00AB7090" w:rsidRDefault="00AB7090" w:rsidP="002E6002">
      <w:pPr>
        <w:spacing w:line="360" w:lineRule="auto"/>
        <w:ind w:left="-1560" w:right="-999"/>
        <w:jc w:val="both"/>
        <w:rPr>
          <w:iCs/>
          <w:lang w:val="en-US"/>
        </w:rPr>
      </w:pPr>
    </w:p>
    <w:p w:rsidR="00AB7090" w:rsidRDefault="00AB7090" w:rsidP="002E6002">
      <w:pPr>
        <w:spacing w:line="360" w:lineRule="auto"/>
        <w:ind w:left="-1560" w:right="-999"/>
        <w:jc w:val="both"/>
        <w:rPr>
          <w:iCs/>
          <w:lang w:val="en-US"/>
        </w:rPr>
      </w:pPr>
    </w:p>
    <w:p w:rsidR="00AB7090" w:rsidRDefault="00AB7090" w:rsidP="009D0FFA">
      <w:pPr>
        <w:spacing w:line="360" w:lineRule="auto"/>
        <w:ind w:left="-1560"/>
        <w:jc w:val="both"/>
        <w:rPr>
          <w:iCs/>
          <w:lang w:val="en-US"/>
        </w:rPr>
      </w:pPr>
      <w:r w:rsidRPr="006D07DA">
        <w:rPr>
          <w:iCs/>
          <w:lang w:val="en-US"/>
        </w:rPr>
        <w:object w:dxaOrig="6547" w:dyaOrig="3557">
          <v:shape id="_x0000_i1034" type="#_x0000_t75" style="width:556.5pt;height:300.5pt" o:ole="" filled="t">
            <v:imagedata r:id="rId23" o:title=""/>
          </v:shape>
          <o:OLEObject Type="Embed" ProgID="Prism7.Document" ShapeID="_x0000_i1034" DrawAspect="Content" ObjectID="_1577638298" r:id="rId24"/>
        </w:object>
      </w:r>
    </w:p>
    <w:p w:rsidR="00AB7090" w:rsidRDefault="00AB7090" w:rsidP="009D0FFA">
      <w:pPr>
        <w:spacing w:line="360" w:lineRule="auto"/>
        <w:jc w:val="both"/>
        <w:rPr>
          <w:iCs/>
          <w:lang w:val="en-US"/>
        </w:rPr>
      </w:pPr>
      <w:r w:rsidRPr="00C07FC4">
        <w:rPr>
          <w:b/>
          <w:iCs/>
          <w:lang w:val="en-US"/>
        </w:rPr>
        <w:t>Fig 6.</w:t>
      </w:r>
      <w:r>
        <w:rPr>
          <w:iCs/>
          <w:lang w:val="en-US"/>
        </w:rPr>
        <w:t xml:space="preserve"> Comparison of the </w:t>
      </w:r>
      <w:r w:rsidRPr="00532987">
        <w:rPr>
          <w:b/>
          <w:iCs/>
          <w:lang w:val="en-US"/>
        </w:rPr>
        <w:t>8e</w:t>
      </w:r>
      <w:r>
        <w:rPr>
          <w:iCs/>
          <w:lang w:val="en-US"/>
        </w:rPr>
        <w:t xml:space="preserve"> and </w:t>
      </w:r>
      <w:r w:rsidRPr="00532987">
        <w:rPr>
          <w:b/>
          <w:iCs/>
          <w:lang w:val="en-US"/>
        </w:rPr>
        <w:t>8m</w:t>
      </w:r>
      <w:r>
        <w:rPr>
          <w:b/>
          <w:iCs/>
          <w:lang w:val="en-US"/>
        </w:rPr>
        <w:t xml:space="preserve"> </w:t>
      </w:r>
      <w:r>
        <w:rPr>
          <w:iCs/>
          <w:lang w:val="en-US"/>
        </w:rPr>
        <w:t>potential as oxidative stress inducers in MV-4-11 (A, C) and UM-UC-3 (B, D) cell lines. (A, B) Reactive oxygen species level was assessed after 6 h of treatment with various concentrations of compounds using DCF-DA method. (C, D) Representative histograms are presented for control sample and compounds at 100 µM concentration.</w:t>
      </w:r>
    </w:p>
    <w:p w:rsidR="00AB7090" w:rsidRDefault="00AB7090" w:rsidP="009D0FFA">
      <w:pPr>
        <w:spacing w:line="360" w:lineRule="auto"/>
        <w:jc w:val="both"/>
        <w:rPr>
          <w:iCs/>
          <w:lang w:val="en-US"/>
        </w:rPr>
      </w:pPr>
    </w:p>
    <w:p w:rsidR="00AB7090" w:rsidRDefault="00AB7090" w:rsidP="008174E0">
      <w:pPr>
        <w:spacing w:line="360" w:lineRule="auto"/>
        <w:ind w:firstLine="720"/>
        <w:jc w:val="both"/>
        <w:rPr>
          <w:lang w:val="en-US"/>
        </w:rPr>
      </w:pPr>
      <w:r>
        <w:rPr>
          <w:iCs/>
          <w:lang w:val="en-US"/>
        </w:rPr>
        <w:t>In summary, a series of novel, optically pure (</w:t>
      </w:r>
      <w:r w:rsidRPr="002104DB">
        <w:rPr>
          <w:i/>
          <w:lang w:val="en-US"/>
        </w:rPr>
        <w:t>R</w:t>
      </w:r>
      <w:r>
        <w:rPr>
          <w:iCs/>
          <w:lang w:val="en-US"/>
        </w:rPr>
        <w:t xml:space="preserve">)- and </w:t>
      </w:r>
      <w:r w:rsidRPr="002104DB">
        <w:rPr>
          <w:i/>
          <w:lang w:val="en-US"/>
        </w:rPr>
        <w:t>(S</w:t>
      </w:r>
      <w:r w:rsidRPr="002104DB">
        <w:rPr>
          <w:lang w:val="en-US"/>
        </w:rPr>
        <w:t>)-1,3,4,12a-tetrahydropyrazino[2,1-</w:t>
      </w:r>
      <w:r w:rsidRPr="002104DB">
        <w:rPr>
          <w:i/>
          <w:lang w:val="en-US"/>
        </w:rPr>
        <w:t>c</w:t>
      </w:r>
      <w:r w:rsidRPr="002104DB">
        <w:rPr>
          <w:lang w:val="en-US"/>
        </w:rPr>
        <w:t>][1,4]benzodiazepine-6,12(2</w:t>
      </w:r>
      <w:r w:rsidRPr="002104DB">
        <w:rPr>
          <w:i/>
          <w:lang w:val="en-US"/>
        </w:rPr>
        <w:t>H</w:t>
      </w:r>
      <w:r w:rsidRPr="002104DB">
        <w:rPr>
          <w:lang w:val="en-US"/>
        </w:rPr>
        <w:t>,11</w:t>
      </w:r>
      <w:r w:rsidRPr="002104DB">
        <w:rPr>
          <w:i/>
          <w:lang w:val="en-US"/>
        </w:rPr>
        <w:t>H</w:t>
      </w:r>
      <w:r w:rsidRPr="002104DB">
        <w:rPr>
          <w:lang w:val="en-US"/>
        </w:rPr>
        <w:t>)-dione derivatives</w:t>
      </w:r>
      <w:r>
        <w:rPr>
          <w:lang w:val="en-US"/>
        </w:rPr>
        <w:t xml:space="preserve"> was designed, synthesized, and tested for their antiproliferative activity, which resulted in the discovery of potent and selective inhibitors of  </w:t>
      </w:r>
      <w:r w:rsidRPr="002104DB">
        <w:rPr>
          <w:lang w:val="en-US"/>
        </w:rPr>
        <w:t>MV-4-11 biphenotypic B myelomonocytic leukemia</w:t>
      </w:r>
      <w:r>
        <w:rPr>
          <w:lang w:val="en-US"/>
        </w:rPr>
        <w:t xml:space="preserve"> proliferation. Other susceptible cell lines include: HT-29 and LoVo (both human colorectal adenocarcinoma). Selective inhibition of MV-4-11 is accompanied by reactive oxygen species overproduction and apoptosis. Further studies on structure-activity relationships leading to the more potent and selective compounds, as well as identification of molecular targets and mode of action, are in the progress now and will be reported in due course.</w:t>
      </w:r>
    </w:p>
    <w:p w:rsidR="00AB7090" w:rsidRPr="009150AE" w:rsidRDefault="00AB7090" w:rsidP="00117300">
      <w:pPr>
        <w:pStyle w:val="ListParagraph"/>
        <w:spacing w:line="360" w:lineRule="auto"/>
        <w:ind w:left="0"/>
        <w:rPr>
          <w:b/>
          <w:lang w:val="en-US"/>
        </w:rPr>
      </w:pPr>
      <w:r w:rsidRPr="009150AE">
        <w:rPr>
          <w:b/>
          <w:lang w:val="en-US"/>
        </w:rPr>
        <w:t>Acknowledgements</w:t>
      </w:r>
    </w:p>
    <w:p w:rsidR="00AB7090" w:rsidRDefault="00AB7090" w:rsidP="00F14BE4">
      <w:pPr>
        <w:spacing w:line="360" w:lineRule="auto"/>
        <w:jc w:val="both"/>
        <w:rPr>
          <w:lang w:val="en-US"/>
        </w:rPr>
      </w:pPr>
      <w:r w:rsidRPr="00F14BE4">
        <w:rPr>
          <w:color w:val="333333"/>
          <w:shd w:val="clear" w:color="auto" w:fill="FFFFFF"/>
          <w:lang w:val="en-US"/>
        </w:rPr>
        <w:t xml:space="preserve">The </w:t>
      </w:r>
      <w:r w:rsidRPr="00D8743B">
        <w:rPr>
          <w:shd w:val="clear" w:color="auto" w:fill="FFFFFF"/>
          <w:lang w:val="en-US"/>
        </w:rPr>
        <w:t>CCDC 157819</w:t>
      </w:r>
      <w:r>
        <w:rPr>
          <w:shd w:val="clear" w:color="auto" w:fill="FFFFFF"/>
          <w:lang w:val="en-US"/>
        </w:rPr>
        <w:t>4 (</w:t>
      </w:r>
      <w:r w:rsidRPr="00D8743B">
        <w:rPr>
          <w:b/>
          <w:shd w:val="clear" w:color="auto" w:fill="FFFFFF"/>
          <w:lang w:val="en-US"/>
        </w:rPr>
        <w:t>8a</w:t>
      </w:r>
      <w:r>
        <w:rPr>
          <w:shd w:val="clear" w:color="auto" w:fill="FFFFFF"/>
          <w:lang w:val="en-US"/>
        </w:rPr>
        <w:t xml:space="preserve">) and </w:t>
      </w:r>
      <w:r w:rsidRPr="00D8743B">
        <w:rPr>
          <w:shd w:val="clear" w:color="auto" w:fill="FFFFFF"/>
          <w:lang w:val="en-US"/>
        </w:rPr>
        <w:t>CCDC 157819</w:t>
      </w:r>
      <w:r>
        <w:rPr>
          <w:shd w:val="clear" w:color="auto" w:fill="FFFFFF"/>
          <w:lang w:val="en-US"/>
        </w:rPr>
        <w:t>3 (</w:t>
      </w:r>
      <w:r w:rsidRPr="00D8743B">
        <w:rPr>
          <w:b/>
          <w:shd w:val="clear" w:color="auto" w:fill="FFFFFF"/>
          <w:lang w:val="en-US"/>
        </w:rPr>
        <w:t>8</w:t>
      </w:r>
      <w:r>
        <w:rPr>
          <w:b/>
          <w:shd w:val="clear" w:color="auto" w:fill="FFFFFF"/>
          <w:lang w:val="en-US"/>
        </w:rPr>
        <w:t>i</w:t>
      </w:r>
      <w:r>
        <w:rPr>
          <w:shd w:val="clear" w:color="auto" w:fill="FFFFFF"/>
          <w:lang w:val="en-US"/>
        </w:rPr>
        <w:t xml:space="preserve">) </w:t>
      </w:r>
      <w:r>
        <w:rPr>
          <w:color w:val="333333"/>
          <w:shd w:val="clear" w:color="auto" w:fill="FFFFFF"/>
          <w:lang w:val="en-US"/>
        </w:rPr>
        <w:t>contain</w:t>
      </w:r>
      <w:r w:rsidRPr="00F14BE4">
        <w:rPr>
          <w:color w:val="333333"/>
          <w:shd w:val="clear" w:color="auto" w:fill="FFFFFF"/>
          <w:lang w:val="en-US"/>
        </w:rPr>
        <w:t xml:space="preserve"> the supplementary crystallographic data for this paper. The data can be obtained free of charge from the Cambridge Crystallographic Data Centre via </w:t>
      </w:r>
      <w:hyperlink r:id="rId25" w:history="1">
        <w:r w:rsidRPr="00F14BE4">
          <w:rPr>
            <w:rStyle w:val="Hyperlink"/>
            <w:color w:val="428BCA"/>
            <w:shd w:val="clear" w:color="auto" w:fill="FFFFFF"/>
            <w:lang w:val="en-US"/>
          </w:rPr>
          <w:t>www.ccdc.cam.ac.uk/structures</w:t>
        </w:r>
      </w:hyperlink>
      <w:r w:rsidRPr="00F14BE4">
        <w:rPr>
          <w:color w:val="333333"/>
          <w:shd w:val="clear" w:color="auto" w:fill="FFFFFF"/>
          <w:lang w:val="en-US"/>
        </w:rPr>
        <w:t>.</w:t>
      </w:r>
      <w:r>
        <w:rPr>
          <w:lang w:val="en-US"/>
        </w:rPr>
        <w:t xml:space="preserve"> </w:t>
      </w:r>
      <w:r w:rsidRPr="009150AE">
        <w:rPr>
          <w:lang w:val="en-US"/>
        </w:rPr>
        <w:t xml:space="preserve">This work was supported by the National Science Centre </w:t>
      </w:r>
      <w:r>
        <w:rPr>
          <w:lang w:val="en-US"/>
        </w:rPr>
        <w:t xml:space="preserve">OPUS grant </w:t>
      </w:r>
      <w:r w:rsidRPr="009150AE">
        <w:rPr>
          <w:lang w:val="en-US"/>
        </w:rPr>
        <w:t xml:space="preserve">(decision number: DEC-2011/01/B/NZ4/03566). The equipment used was sponsored in part by the Centre for Preclinical Research and Technology (CePT), a project co-sponsored by European Regional Development Fund and Innovative Economy, The National Cohesion Strategy of Poland. </w:t>
      </w:r>
      <w:r w:rsidRPr="00F14BE4">
        <w:rPr>
          <w:lang w:val="en-US"/>
        </w:rPr>
        <w:t xml:space="preserve">This study was </w:t>
      </w:r>
      <w:r>
        <w:rPr>
          <w:lang w:val="en-US"/>
        </w:rPr>
        <w:t xml:space="preserve">also </w:t>
      </w:r>
      <w:r w:rsidRPr="00F14BE4">
        <w:rPr>
          <w:lang w:val="en-US"/>
        </w:rPr>
        <w:t>carried out at the Biological and Chemical Research Centre, University of Warsaw, established within the project co-financed by European Union from the European Regional Development Fund under the Operational Programme Innovative Economy, 2007</w:t>
      </w:r>
      <w:r>
        <w:rPr>
          <w:lang w:val="en-US"/>
        </w:rPr>
        <w:t>–</w:t>
      </w:r>
      <w:r w:rsidRPr="00F14BE4">
        <w:rPr>
          <w:lang w:val="en-US"/>
        </w:rPr>
        <w:t xml:space="preserve">2013. </w:t>
      </w:r>
      <w:r w:rsidRPr="00F14BE4">
        <w:rPr>
          <w:color w:val="222222"/>
          <w:shd w:val="clear" w:color="auto" w:fill="FFFFFF"/>
          <w:lang w:val="en-US"/>
        </w:rPr>
        <w:t>This study was also supported by the National Science Centre Poland MAESTRO grant-DEC-2012/04/A/ST5/00609 (D.T. and K.W.), which enabled the X-ray structural analysis to be performed.</w:t>
      </w:r>
      <w:r>
        <w:rPr>
          <w:color w:val="222222"/>
          <w:shd w:val="clear" w:color="auto" w:fill="FFFFFF"/>
          <w:lang w:val="en-US"/>
        </w:rPr>
        <w:t xml:space="preserve"> </w:t>
      </w:r>
      <w:r w:rsidRPr="009150AE">
        <w:rPr>
          <w:lang w:val="en-US"/>
        </w:rPr>
        <w:t>We thank Jacek Ol</w:t>
      </w:r>
      <w:r>
        <w:rPr>
          <w:lang w:val="en-US"/>
        </w:rPr>
        <w:t>ę</w:t>
      </w:r>
      <w:r w:rsidRPr="009150AE">
        <w:rPr>
          <w:lang w:val="en-US"/>
        </w:rPr>
        <w:t xml:space="preserve">dzki for recording </w:t>
      </w:r>
      <w:r>
        <w:rPr>
          <w:lang w:val="en-US"/>
        </w:rPr>
        <w:t xml:space="preserve">the </w:t>
      </w:r>
      <w:r w:rsidRPr="009150AE">
        <w:rPr>
          <w:lang w:val="en-US"/>
        </w:rPr>
        <w:t>ES-MS spectra.</w:t>
      </w:r>
    </w:p>
    <w:p w:rsidR="00AB7090" w:rsidRDefault="00AB7090" w:rsidP="00F14BE4">
      <w:pPr>
        <w:spacing w:line="360" w:lineRule="auto"/>
        <w:jc w:val="both"/>
        <w:rPr>
          <w:lang w:val="en-US"/>
        </w:rPr>
      </w:pPr>
    </w:p>
    <w:p w:rsidR="00AB7090" w:rsidRDefault="00AB7090" w:rsidP="00F14BE4">
      <w:pPr>
        <w:spacing w:line="360" w:lineRule="auto"/>
        <w:jc w:val="both"/>
        <w:rPr>
          <w:b/>
          <w:lang w:val="en-US"/>
        </w:rPr>
      </w:pPr>
      <w:r w:rsidRPr="005920CE">
        <w:rPr>
          <w:b/>
          <w:lang w:val="en-US"/>
        </w:rPr>
        <w:t>References</w:t>
      </w:r>
      <w:r>
        <w:rPr>
          <w:b/>
          <w:lang w:val="en-US"/>
        </w:rPr>
        <w:t>:</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1</w:t>
      </w:r>
      <w:r w:rsidRPr="005920CE">
        <w:rPr>
          <w:sz w:val="20"/>
          <w:szCs w:val="20"/>
          <w:lang w:val="en-GB"/>
        </w:rPr>
        <w:t xml:space="preserve"> Thurson DE, Bose DS. </w:t>
      </w:r>
      <w:r w:rsidRPr="005920CE">
        <w:rPr>
          <w:i/>
          <w:iCs/>
          <w:sz w:val="20"/>
          <w:szCs w:val="20"/>
          <w:lang w:val="en-GB"/>
        </w:rPr>
        <w:t xml:space="preserve">Chem Rev. </w:t>
      </w:r>
      <w:r>
        <w:rPr>
          <w:sz w:val="20"/>
          <w:szCs w:val="20"/>
          <w:lang w:val="en-US"/>
        </w:rPr>
        <w:t>1994;94</w:t>
      </w:r>
      <w:r w:rsidRPr="0075028C">
        <w:rPr>
          <w:sz w:val="20"/>
          <w:szCs w:val="20"/>
          <w:lang w:val="en-US"/>
        </w:rPr>
        <w:t>:433-465.</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2</w:t>
      </w:r>
      <w:r w:rsidRPr="005920CE">
        <w:rPr>
          <w:sz w:val="20"/>
          <w:szCs w:val="20"/>
          <w:lang w:val="en-US"/>
        </w:rPr>
        <w:t>.</w:t>
      </w:r>
      <w:r w:rsidRPr="005920CE">
        <w:rPr>
          <w:sz w:val="20"/>
          <w:szCs w:val="20"/>
          <w:lang w:val="en-GB"/>
        </w:rPr>
        <w:t xml:space="preserve"> Antonov D, Thurston DE. </w:t>
      </w:r>
      <w:r w:rsidRPr="005920CE">
        <w:rPr>
          <w:i/>
          <w:iCs/>
          <w:sz w:val="20"/>
          <w:szCs w:val="20"/>
          <w:lang w:val="en-GB"/>
        </w:rPr>
        <w:t xml:space="preserve">Chem Rev. </w:t>
      </w:r>
      <w:r>
        <w:rPr>
          <w:sz w:val="20"/>
          <w:szCs w:val="20"/>
          <w:lang w:val="en-US"/>
        </w:rPr>
        <w:t>2011;111</w:t>
      </w:r>
      <w:r w:rsidRPr="0075028C">
        <w:rPr>
          <w:sz w:val="20"/>
          <w:szCs w:val="20"/>
          <w:lang w:val="en-US"/>
        </w:rPr>
        <w:t>:2815-2864.</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3</w:t>
      </w:r>
      <w:r w:rsidRPr="005920CE">
        <w:rPr>
          <w:sz w:val="20"/>
          <w:szCs w:val="20"/>
          <w:lang w:val="en-GB"/>
        </w:rPr>
        <w:t xml:space="preserve"> Kamal A, Rao MV, Laxman N, Ramesh G, Reddy GSK. </w:t>
      </w:r>
      <w:r w:rsidRPr="005920CE">
        <w:rPr>
          <w:i/>
          <w:iCs/>
          <w:sz w:val="20"/>
          <w:szCs w:val="20"/>
          <w:lang w:val="en-GB"/>
        </w:rPr>
        <w:t>Curr Med Chem – Anti-Cancer Agents</w:t>
      </w:r>
      <w:r w:rsidRPr="005920CE">
        <w:rPr>
          <w:iCs/>
          <w:sz w:val="20"/>
          <w:szCs w:val="20"/>
          <w:lang w:val="en-GB"/>
        </w:rPr>
        <w:t>.</w:t>
      </w:r>
      <w:r w:rsidRPr="005920CE">
        <w:rPr>
          <w:i/>
          <w:iCs/>
          <w:sz w:val="20"/>
          <w:szCs w:val="20"/>
          <w:lang w:val="en-GB"/>
        </w:rPr>
        <w:t xml:space="preserve"> </w:t>
      </w:r>
      <w:r w:rsidRPr="00CC5E9B">
        <w:rPr>
          <w:sz w:val="20"/>
          <w:szCs w:val="20"/>
          <w:lang w:val="en-GB"/>
        </w:rPr>
        <w:t>2002;2:215-254.</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4</w:t>
      </w:r>
      <w:r w:rsidRPr="005920CE">
        <w:rPr>
          <w:sz w:val="20"/>
          <w:szCs w:val="20"/>
          <w:lang w:val="en-GB"/>
        </w:rPr>
        <w:t xml:space="preserve"> Kumar R, Lown JW. </w:t>
      </w:r>
      <w:r w:rsidRPr="005920CE">
        <w:rPr>
          <w:i/>
          <w:iCs/>
          <w:sz w:val="20"/>
          <w:szCs w:val="20"/>
          <w:lang w:val="en-GB"/>
        </w:rPr>
        <w:t xml:space="preserve">Mini Rev Med Chem. </w:t>
      </w:r>
      <w:r>
        <w:rPr>
          <w:sz w:val="20"/>
          <w:szCs w:val="20"/>
          <w:lang w:val="en-GB"/>
        </w:rPr>
        <w:t>2003;3</w:t>
      </w:r>
      <w:r w:rsidRPr="005920CE">
        <w:rPr>
          <w:sz w:val="20"/>
          <w:szCs w:val="20"/>
          <w:lang w:val="en-GB"/>
        </w:rPr>
        <w:t>:323-339.</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5</w:t>
      </w:r>
      <w:r w:rsidRPr="005920CE">
        <w:rPr>
          <w:sz w:val="20"/>
          <w:szCs w:val="20"/>
          <w:lang w:val="en-US"/>
        </w:rPr>
        <w:t xml:space="preserve"> </w:t>
      </w:r>
      <w:r w:rsidRPr="005920CE">
        <w:rPr>
          <w:sz w:val="20"/>
          <w:szCs w:val="20"/>
          <w:lang w:val="en-GB"/>
        </w:rPr>
        <w:t xml:space="preserve">Cipolla L, Araujo AC, Airoldi C, Bini D. </w:t>
      </w:r>
      <w:r w:rsidRPr="005920CE">
        <w:rPr>
          <w:i/>
          <w:iCs/>
          <w:sz w:val="20"/>
          <w:szCs w:val="20"/>
          <w:lang w:val="en-GB"/>
        </w:rPr>
        <w:t xml:space="preserve">Anti-Cancer Agents Med Chem. </w:t>
      </w:r>
      <w:r>
        <w:rPr>
          <w:sz w:val="20"/>
          <w:szCs w:val="20"/>
          <w:lang w:val="en-US"/>
        </w:rPr>
        <w:t>2009;9</w:t>
      </w:r>
      <w:r w:rsidRPr="005920CE">
        <w:rPr>
          <w:sz w:val="20"/>
          <w:szCs w:val="20"/>
          <w:lang w:val="en-US"/>
        </w:rPr>
        <w:t>:1-31.</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6</w:t>
      </w:r>
      <w:r w:rsidRPr="005920CE">
        <w:rPr>
          <w:sz w:val="20"/>
          <w:szCs w:val="20"/>
          <w:lang w:val="en-US"/>
        </w:rPr>
        <w:t xml:space="preserve"> </w:t>
      </w:r>
      <w:r w:rsidRPr="005920CE">
        <w:rPr>
          <w:rFonts w:eastAsia="MS Mincho"/>
          <w:sz w:val="20"/>
          <w:szCs w:val="20"/>
          <w:lang w:val="en-GB" w:eastAsia="ja-JP"/>
        </w:rPr>
        <w:t xml:space="preserve">Alley MC, Hollingshead MG, Pacula-Cox,CM, Waud WR, Hartley JA, Howard PW, Gregson SJ, Thurston DE, Sausville EA. </w:t>
      </w:r>
      <w:r w:rsidRPr="005920CE">
        <w:rPr>
          <w:rFonts w:eastAsia="MS Mincho"/>
          <w:i/>
          <w:iCs/>
          <w:sz w:val="20"/>
          <w:szCs w:val="20"/>
          <w:lang w:val="en-GB" w:eastAsia="ja-JP"/>
        </w:rPr>
        <w:t>Cancer Res.</w:t>
      </w:r>
      <w:r w:rsidRPr="005920CE">
        <w:rPr>
          <w:rFonts w:eastAsia="MS Mincho"/>
          <w:sz w:val="20"/>
          <w:szCs w:val="20"/>
          <w:lang w:val="en-GB" w:eastAsia="ja-JP"/>
        </w:rPr>
        <w:t xml:space="preserve"> </w:t>
      </w:r>
      <w:r w:rsidRPr="005920CE">
        <w:rPr>
          <w:rFonts w:eastAsia="MS Mincho"/>
          <w:bCs/>
          <w:sz w:val="20"/>
          <w:szCs w:val="20"/>
          <w:lang w:val="en-GB" w:eastAsia="ja-JP"/>
        </w:rPr>
        <w:t>2004</w:t>
      </w:r>
      <w:r w:rsidRPr="005920CE">
        <w:rPr>
          <w:rFonts w:eastAsia="MS Mincho"/>
          <w:sz w:val="20"/>
          <w:szCs w:val="20"/>
          <w:lang w:val="en-GB" w:eastAsia="ja-JP"/>
        </w:rPr>
        <w:t>;</w:t>
      </w:r>
      <w:r w:rsidRPr="005920CE">
        <w:rPr>
          <w:rFonts w:eastAsia="MS Mincho"/>
          <w:iCs/>
          <w:sz w:val="20"/>
          <w:szCs w:val="20"/>
          <w:lang w:val="en-GB" w:eastAsia="ja-JP"/>
        </w:rPr>
        <w:t>64</w:t>
      </w:r>
      <w:r w:rsidRPr="005920CE">
        <w:rPr>
          <w:rFonts w:eastAsia="MS Mincho"/>
          <w:sz w:val="20"/>
          <w:szCs w:val="20"/>
          <w:lang w:val="en-GB" w:eastAsia="ja-JP"/>
        </w:rPr>
        <w:t>;6700-6706.</w:t>
      </w:r>
    </w:p>
    <w:p w:rsidR="00AB7090" w:rsidRPr="005920CE" w:rsidRDefault="00AB7090" w:rsidP="005920CE">
      <w:pPr>
        <w:autoSpaceDE w:val="0"/>
        <w:autoSpaceDN w:val="0"/>
        <w:adjustRightInd w:val="0"/>
        <w:spacing w:line="360" w:lineRule="auto"/>
        <w:jc w:val="both"/>
        <w:rPr>
          <w:rFonts w:eastAsia="MS Mincho"/>
          <w:sz w:val="20"/>
          <w:szCs w:val="20"/>
          <w:lang w:val="en-GB" w:eastAsia="ja-JP"/>
        </w:rPr>
      </w:pPr>
      <w:r w:rsidRPr="005920CE">
        <w:rPr>
          <w:sz w:val="20"/>
          <w:szCs w:val="20"/>
          <w:vertAlign w:val="superscript"/>
          <w:lang w:val="en-US"/>
        </w:rPr>
        <w:t>7</w:t>
      </w:r>
      <w:r w:rsidRPr="005920CE">
        <w:rPr>
          <w:sz w:val="20"/>
          <w:szCs w:val="20"/>
          <w:lang w:val="en-US"/>
        </w:rPr>
        <w:t xml:space="preserve"> </w:t>
      </w:r>
      <w:r w:rsidRPr="005920CE">
        <w:rPr>
          <w:rFonts w:eastAsia="MS Mincho"/>
          <w:sz w:val="20"/>
          <w:szCs w:val="20"/>
          <w:lang w:val="en-GB" w:eastAsia="ja-JP"/>
        </w:rPr>
        <w:t>Hartley JA,  Spanswick VJ, Brooks N, Clingen PH, McHugh PJ, Hochhauser D, Pedley RB,</w:t>
      </w:r>
    </w:p>
    <w:p w:rsidR="00AB7090" w:rsidRPr="005920CE" w:rsidRDefault="00AB7090" w:rsidP="005920CE">
      <w:pPr>
        <w:spacing w:line="360" w:lineRule="auto"/>
        <w:jc w:val="both"/>
        <w:rPr>
          <w:sz w:val="20"/>
          <w:szCs w:val="20"/>
          <w:lang w:val="en-US"/>
        </w:rPr>
      </w:pPr>
      <w:r w:rsidRPr="005920CE">
        <w:rPr>
          <w:rFonts w:eastAsia="MS Mincho"/>
          <w:sz w:val="20"/>
          <w:szCs w:val="20"/>
          <w:lang w:val="en-GB" w:eastAsia="ja-JP"/>
        </w:rPr>
        <w:t xml:space="preserve">Kelland LR, Alley MC, Schultz R, Hollingshead MG, Schweikart KM, Tomaszewski JE, Sausville EA, Gregson SJ, Howard PW, Thurston DE. </w:t>
      </w:r>
      <w:r w:rsidRPr="005920CE">
        <w:rPr>
          <w:rFonts w:eastAsia="MS Mincho"/>
          <w:i/>
          <w:iCs/>
          <w:sz w:val="20"/>
          <w:szCs w:val="20"/>
          <w:lang w:val="en-GB" w:eastAsia="ja-JP"/>
        </w:rPr>
        <w:t>Cancer Res.</w:t>
      </w:r>
      <w:r w:rsidRPr="005920CE">
        <w:rPr>
          <w:rFonts w:eastAsia="MS Mincho"/>
          <w:sz w:val="20"/>
          <w:szCs w:val="20"/>
          <w:lang w:val="en-GB" w:eastAsia="ja-JP"/>
        </w:rPr>
        <w:t xml:space="preserve"> </w:t>
      </w:r>
      <w:r w:rsidRPr="005920CE">
        <w:rPr>
          <w:rFonts w:eastAsia="MS Mincho"/>
          <w:bCs/>
          <w:sz w:val="20"/>
          <w:szCs w:val="20"/>
          <w:lang w:val="en-GB" w:eastAsia="ja-JP"/>
        </w:rPr>
        <w:t>2004</w:t>
      </w:r>
      <w:r w:rsidRPr="005920CE">
        <w:rPr>
          <w:rFonts w:eastAsia="MS Mincho"/>
          <w:sz w:val="20"/>
          <w:szCs w:val="20"/>
          <w:lang w:val="en-GB" w:eastAsia="ja-JP"/>
        </w:rPr>
        <w:t>;</w:t>
      </w:r>
      <w:r w:rsidRPr="005920CE">
        <w:rPr>
          <w:rFonts w:eastAsia="MS Mincho"/>
          <w:iCs/>
          <w:sz w:val="20"/>
          <w:szCs w:val="20"/>
          <w:lang w:val="en-GB" w:eastAsia="ja-JP"/>
        </w:rPr>
        <w:t>64</w:t>
      </w:r>
      <w:r w:rsidRPr="005920CE">
        <w:rPr>
          <w:rFonts w:eastAsia="MS Mincho"/>
          <w:sz w:val="20"/>
          <w:szCs w:val="20"/>
          <w:lang w:val="en-GB" w:eastAsia="ja-JP"/>
        </w:rPr>
        <w:t>;6693-6699.</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8</w:t>
      </w:r>
      <w:r w:rsidRPr="005920CE">
        <w:rPr>
          <w:sz w:val="20"/>
          <w:szCs w:val="20"/>
          <w:lang w:val="en-US"/>
        </w:rPr>
        <w:t xml:space="preserve"> </w:t>
      </w:r>
      <w:r>
        <w:rPr>
          <w:sz w:val="20"/>
          <w:szCs w:val="20"/>
          <w:lang w:val="en-GB"/>
        </w:rPr>
        <w:t xml:space="preserve">Jones GB, Davey CL, </w:t>
      </w:r>
      <w:r w:rsidRPr="005920CE">
        <w:rPr>
          <w:sz w:val="20"/>
          <w:szCs w:val="20"/>
          <w:lang w:val="en-GB"/>
        </w:rPr>
        <w:t xml:space="preserve">Jenkins TC, Kamal A, Kneale GG, Neidle S, Webster GD, Thurston DE. </w:t>
      </w:r>
      <w:r w:rsidRPr="005920CE">
        <w:rPr>
          <w:i/>
          <w:iCs/>
          <w:sz w:val="20"/>
          <w:szCs w:val="20"/>
          <w:lang w:val="en-GB"/>
        </w:rPr>
        <w:t xml:space="preserve">Anti-Cancer Drug Des. </w:t>
      </w:r>
      <w:r>
        <w:rPr>
          <w:sz w:val="20"/>
          <w:szCs w:val="20"/>
          <w:lang w:val="en-GB"/>
        </w:rPr>
        <w:t>1990;5</w:t>
      </w:r>
      <w:r w:rsidRPr="005920CE">
        <w:rPr>
          <w:sz w:val="20"/>
          <w:szCs w:val="20"/>
          <w:lang w:val="en-GB"/>
        </w:rPr>
        <w:t>:249-264.</w:t>
      </w:r>
    </w:p>
    <w:p w:rsidR="00AB7090" w:rsidRPr="005920CE" w:rsidRDefault="00AB7090" w:rsidP="00F14BE4">
      <w:pPr>
        <w:spacing w:line="360" w:lineRule="auto"/>
        <w:jc w:val="both"/>
        <w:rPr>
          <w:sz w:val="20"/>
          <w:szCs w:val="20"/>
          <w:lang w:val="en-US"/>
        </w:rPr>
      </w:pPr>
      <w:r w:rsidRPr="005920CE">
        <w:rPr>
          <w:sz w:val="20"/>
          <w:szCs w:val="20"/>
          <w:vertAlign w:val="superscript"/>
          <w:lang w:val="en-US"/>
        </w:rPr>
        <w:t>9</w:t>
      </w:r>
      <w:r w:rsidRPr="005920CE">
        <w:rPr>
          <w:sz w:val="20"/>
          <w:szCs w:val="20"/>
          <w:lang w:val="en-US"/>
        </w:rPr>
        <w:t xml:space="preserve"> </w:t>
      </w:r>
      <w:r w:rsidRPr="005920CE">
        <w:rPr>
          <w:sz w:val="20"/>
          <w:szCs w:val="20"/>
          <w:lang w:val="en-GB"/>
        </w:rPr>
        <w:t xml:space="preserve">Antonow D, Jenkins TC, Howard PW, Thurston DE. </w:t>
      </w:r>
      <w:r w:rsidRPr="005920CE">
        <w:rPr>
          <w:i/>
          <w:iCs/>
          <w:sz w:val="20"/>
          <w:szCs w:val="20"/>
          <w:lang w:val="en-GB"/>
        </w:rPr>
        <w:t>Bioorg Med Chem</w:t>
      </w:r>
      <w:r w:rsidRPr="005920CE">
        <w:rPr>
          <w:i/>
          <w:iCs/>
          <w:color w:val="FF0000"/>
          <w:sz w:val="20"/>
          <w:szCs w:val="20"/>
          <w:lang w:val="en-GB"/>
        </w:rPr>
        <w:t xml:space="preserve"> </w:t>
      </w:r>
      <w:r>
        <w:rPr>
          <w:sz w:val="20"/>
          <w:szCs w:val="20"/>
          <w:lang w:val="en-US"/>
        </w:rPr>
        <w:t>2007;15</w:t>
      </w:r>
      <w:r w:rsidRPr="005920CE">
        <w:rPr>
          <w:sz w:val="20"/>
          <w:szCs w:val="20"/>
          <w:lang w:val="en-US"/>
        </w:rPr>
        <w:t>:3041-3053.</w:t>
      </w:r>
    </w:p>
    <w:p w:rsidR="00AB7090" w:rsidRDefault="00AB7090" w:rsidP="00F14BE4">
      <w:pPr>
        <w:spacing w:line="360" w:lineRule="auto"/>
        <w:jc w:val="both"/>
        <w:rPr>
          <w:sz w:val="20"/>
          <w:szCs w:val="20"/>
          <w:lang w:val="en-US"/>
        </w:rPr>
      </w:pPr>
      <w:r w:rsidRPr="005920CE">
        <w:rPr>
          <w:sz w:val="20"/>
          <w:szCs w:val="20"/>
          <w:vertAlign w:val="superscript"/>
          <w:lang w:val="en-US"/>
        </w:rPr>
        <w:t>10</w:t>
      </w:r>
      <w:r w:rsidRPr="005920CE">
        <w:rPr>
          <w:sz w:val="20"/>
          <w:szCs w:val="20"/>
          <w:lang w:val="en-US"/>
        </w:rPr>
        <w:t xml:space="preserve"> </w:t>
      </w:r>
      <w:r w:rsidRPr="005920CE">
        <w:rPr>
          <w:sz w:val="20"/>
          <w:szCs w:val="20"/>
          <w:lang w:val="en-GB"/>
        </w:rPr>
        <w:t xml:space="preserve">Foloppe MP, Rault S, Thurston DE, Jenkins TC, Robba M. </w:t>
      </w:r>
      <w:r w:rsidRPr="005920CE">
        <w:rPr>
          <w:i/>
          <w:iCs/>
          <w:sz w:val="20"/>
          <w:szCs w:val="20"/>
          <w:lang w:val="en-GB"/>
        </w:rPr>
        <w:t xml:space="preserve">Eur J Med Chem. </w:t>
      </w:r>
      <w:r>
        <w:rPr>
          <w:sz w:val="20"/>
          <w:szCs w:val="20"/>
          <w:lang w:val="en-US"/>
        </w:rPr>
        <w:t>1996;31</w:t>
      </w:r>
      <w:r w:rsidRPr="005920CE">
        <w:rPr>
          <w:sz w:val="20"/>
          <w:szCs w:val="20"/>
          <w:lang w:val="en-US"/>
        </w:rPr>
        <w:t>:407-410.</w:t>
      </w:r>
    </w:p>
    <w:p w:rsidR="00AB7090" w:rsidRPr="00B71664" w:rsidRDefault="00AB7090" w:rsidP="00F14BE4">
      <w:pPr>
        <w:spacing w:line="360" w:lineRule="auto"/>
        <w:jc w:val="both"/>
        <w:rPr>
          <w:sz w:val="20"/>
          <w:szCs w:val="20"/>
          <w:lang w:val="en-US"/>
        </w:rPr>
      </w:pPr>
      <w:r w:rsidRPr="00B71664">
        <w:rPr>
          <w:sz w:val="20"/>
          <w:szCs w:val="20"/>
          <w:vertAlign w:val="superscript"/>
          <w:lang w:val="en-US"/>
        </w:rPr>
        <w:t>11</w:t>
      </w:r>
      <w:r w:rsidRPr="00B71664">
        <w:rPr>
          <w:sz w:val="20"/>
          <w:szCs w:val="20"/>
          <w:lang w:val="en-US"/>
        </w:rPr>
        <w:t xml:space="preserve"> </w:t>
      </w:r>
      <w:r w:rsidRPr="00B71664">
        <w:rPr>
          <w:rFonts w:eastAsia="MS Mincho"/>
          <w:sz w:val="20"/>
          <w:szCs w:val="20"/>
          <w:lang w:val="en-GB" w:eastAsia="ja-JP"/>
        </w:rPr>
        <w:t xml:space="preserve">Kaneko T, Wong H, Doyle TW, Rose WC, Bradner WT. </w:t>
      </w:r>
      <w:r w:rsidRPr="00B71664">
        <w:rPr>
          <w:rFonts w:eastAsia="MS Mincho"/>
          <w:i/>
          <w:iCs/>
          <w:sz w:val="20"/>
          <w:szCs w:val="20"/>
          <w:lang w:val="en-GB" w:eastAsia="ja-JP"/>
        </w:rPr>
        <w:t>J Med Chem.</w:t>
      </w:r>
      <w:r w:rsidRPr="00B71664">
        <w:rPr>
          <w:rFonts w:eastAsia="MS Mincho"/>
          <w:sz w:val="20"/>
          <w:szCs w:val="20"/>
          <w:lang w:val="en-GB" w:eastAsia="ja-JP"/>
        </w:rPr>
        <w:t xml:space="preserve"> </w:t>
      </w:r>
      <w:r w:rsidRPr="00B71664">
        <w:rPr>
          <w:rFonts w:eastAsia="MS Mincho"/>
          <w:bCs/>
          <w:sz w:val="20"/>
          <w:szCs w:val="20"/>
          <w:lang w:val="en-GB" w:eastAsia="ja-JP"/>
        </w:rPr>
        <w:t>1985</w:t>
      </w:r>
      <w:r w:rsidRPr="00B71664">
        <w:rPr>
          <w:rFonts w:eastAsia="MS Mincho"/>
          <w:sz w:val="20"/>
          <w:szCs w:val="20"/>
          <w:lang w:val="en-GB" w:eastAsia="ja-JP"/>
        </w:rPr>
        <w:t>;</w:t>
      </w:r>
      <w:r w:rsidRPr="00B71664">
        <w:rPr>
          <w:rFonts w:eastAsia="MS Mincho"/>
          <w:iCs/>
          <w:sz w:val="20"/>
          <w:szCs w:val="20"/>
          <w:lang w:val="en-GB" w:eastAsia="ja-JP"/>
        </w:rPr>
        <w:t>28</w:t>
      </w:r>
      <w:r w:rsidRPr="00B71664">
        <w:rPr>
          <w:rFonts w:eastAsia="MS Mincho"/>
          <w:sz w:val="20"/>
          <w:szCs w:val="20"/>
          <w:lang w:val="en-GB" w:eastAsia="ja-JP"/>
        </w:rPr>
        <w:t>:388-392.</w:t>
      </w:r>
    </w:p>
    <w:p w:rsidR="00AB7090" w:rsidRPr="00B71664" w:rsidRDefault="00AB7090" w:rsidP="00F14BE4">
      <w:pPr>
        <w:spacing w:line="360" w:lineRule="auto"/>
        <w:jc w:val="both"/>
        <w:rPr>
          <w:sz w:val="20"/>
          <w:szCs w:val="20"/>
          <w:lang w:val="en-US"/>
        </w:rPr>
      </w:pPr>
      <w:r w:rsidRPr="00B71664">
        <w:rPr>
          <w:sz w:val="20"/>
          <w:szCs w:val="20"/>
          <w:vertAlign w:val="superscript"/>
          <w:lang w:val="en-US"/>
        </w:rPr>
        <w:t>12</w:t>
      </w:r>
      <w:r w:rsidRPr="00B71664">
        <w:rPr>
          <w:sz w:val="20"/>
          <w:szCs w:val="20"/>
          <w:lang w:val="en-US"/>
        </w:rPr>
        <w:t xml:space="preserve"> </w:t>
      </w:r>
      <w:r w:rsidRPr="00B71664">
        <w:rPr>
          <w:sz w:val="20"/>
          <w:szCs w:val="20"/>
          <w:lang w:val="en-GB"/>
        </w:rPr>
        <w:t xml:space="preserve">Markandeya N, Shankaraiah N, Reddy CS, Santos LS, Kamal A. </w:t>
      </w:r>
      <w:r w:rsidRPr="00B71664">
        <w:rPr>
          <w:i/>
          <w:iCs/>
          <w:sz w:val="20"/>
          <w:szCs w:val="20"/>
          <w:lang w:val="en-GB"/>
        </w:rPr>
        <w:t xml:space="preserve">Tetrahedron: Asymmetry </w:t>
      </w:r>
      <w:r>
        <w:rPr>
          <w:sz w:val="20"/>
          <w:szCs w:val="20"/>
          <w:lang w:val="en-US"/>
        </w:rPr>
        <w:t>2010;21</w:t>
      </w:r>
      <w:r w:rsidRPr="00B71664">
        <w:rPr>
          <w:sz w:val="20"/>
          <w:szCs w:val="20"/>
          <w:lang w:val="en-US"/>
        </w:rPr>
        <w:t>:2625-2630.</w:t>
      </w:r>
    </w:p>
    <w:p w:rsidR="00AB7090" w:rsidRPr="00B71664" w:rsidRDefault="00AB7090" w:rsidP="00F14BE4">
      <w:pPr>
        <w:spacing w:line="360" w:lineRule="auto"/>
        <w:jc w:val="both"/>
        <w:rPr>
          <w:sz w:val="20"/>
          <w:szCs w:val="20"/>
          <w:lang w:val="it-IT"/>
        </w:rPr>
      </w:pPr>
      <w:r w:rsidRPr="00CC5E9B">
        <w:rPr>
          <w:sz w:val="20"/>
          <w:szCs w:val="20"/>
          <w:vertAlign w:val="superscript"/>
          <w:lang w:val="it-IT"/>
        </w:rPr>
        <w:t>13</w:t>
      </w:r>
      <w:r w:rsidRPr="00CC5E9B">
        <w:rPr>
          <w:sz w:val="20"/>
          <w:szCs w:val="20"/>
          <w:lang w:val="it-IT"/>
        </w:rPr>
        <w:t xml:space="preserve"> </w:t>
      </w:r>
      <w:r>
        <w:rPr>
          <w:sz w:val="20"/>
          <w:szCs w:val="20"/>
          <w:lang w:val="it-IT"/>
        </w:rPr>
        <w:t>Tardibono LP, Miller M</w:t>
      </w:r>
      <w:r w:rsidRPr="00B71664">
        <w:rPr>
          <w:sz w:val="20"/>
          <w:szCs w:val="20"/>
          <w:lang w:val="it-IT"/>
        </w:rPr>
        <w:t xml:space="preserve">J. </w:t>
      </w:r>
      <w:r w:rsidRPr="00B71664">
        <w:rPr>
          <w:i/>
          <w:iCs/>
          <w:sz w:val="20"/>
          <w:szCs w:val="20"/>
          <w:lang w:val="it-IT"/>
        </w:rPr>
        <w:t xml:space="preserve">Org. Lett. </w:t>
      </w:r>
      <w:r w:rsidRPr="00B71664">
        <w:rPr>
          <w:sz w:val="20"/>
          <w:szCs w:val="20"/>
          <w:lang w:val="it-IT"/>
        </w:rPr>
        <w:t>2009;11:1575-1578.</w:t>
      </w:r>
    </w:p>
    <w:p w:rsidR="00AB7090" w:rsidRPr="00B71664" w:rsidRDefault="00AB7090" w:rsidP="00F14BE4">
      <w:pPr>
        <w:spacing w:line="360" w:lineRule="auto"/>
        <w:jc w:val="both"/>
        <w:rPr>
          <w:sz w:val="20"/>
          <w:szCs w:val="20"/>
          <w:lang w:val="it-IT"/>
        </w:rPr>
      </w:pPr>
      <w:r w:rsidRPr="00B71664">
        <w:rPr>
          <w:sz w:val="20"/>
          <w:szCs w:val="20"/>
          <w:vertAlign w:val="superscript"/>
          <w:lang w:val="it-IT"/>
        </w:rPr>
        <w:t>14</w:t>
      </w:r>
      <w:r w:rsidRPr="00B71664">
        <w:rPr>
          <w:sz w:val="20"/>
          <w:szCs w:val="20"/>
          <w:lang w:val="it-IT"/>
        </w:rPr>
        <w:t xml:space="preserve"> Nakatani S, Yamamoto Y, Hayashi M, Komiyama K, Ishibashi M. </w:t>
      </w:r>
      <w:r w:rsidRPr="00B71664">
        <w:rPr>
          <w:i/>
          <w:sz w:val="20"/>
          <w:szCs w:val="20"/>
          <w:lang w:val="it-IT"/>
        </w:rPr>
        <w:t>Chem Pharm Bull.</w:t>
      </w:r>
      <w:r>
        <w:rPr>
          <w:sz w:val="20"/>
          <w:szCs w:val="20"/>
          <w:lang w:val="it-IT"/>
        </w:rPr>
        <w:t xml:space="preserve"> 2004; 52</w:t>
      </w:r>
      <w:r w:rsidRPr="00B71664">
        <w:rPr>
          <w:sz w:val="20"/>
          <w:szCs w:val="20"/>
          <w:lang w:val="it-IT"/>
        </w:rPr>
        <w:t>:368-370.</w:t>
      </w:r>
    </w:p>
    <w:p w:rsidR="00AB7090" w:rsidRPr="00CC5E9B" w:rsidRDefault="00AB7090" w:rsidP="00F14BE4">
      <w:pPr>
        <w:spacing w:line="360" w:lineRule="auto"/>
        <w:jc w:val="both"/>
        <w:rPr>
          <w:sz w:val="20"/>
          <w:szCs w:val="20"/>
          <w:lang w:val="it-IT"/>
        </w:rPr>
      </w:pPr>
      <w:r w:rsidRPr="00B71664">
        <w:rPr>
          <w:sz w:val="20"/>
          <w:szCs w:val="20"/>
          <w:vertAlign w:val="superscript"/>
          <w:lang w:val="it-IT"/>
        </w:rPr>
        <w:t>15</w:t>
      </w:r>
      <w:r w:rsidRPr="00B71664">
        <w:rPr>
          <w:sz w:val="20"/>
          <w:szCs w:val="20"/>
          <w:lang w:val="it-IT"/>
        </w:rPr>
        <w:t xml:space="preserve"> Hasegawa H, Yamada Y, Komiyama K, Hayashi M, Ishibashi M, Sunazuka T, Izuhara T, Sugahara K, Tsuruda K, Masuda M, Takasu N, Tsukasaki K, Tomonaga M, Kamihira S. </w:t>
      </w:r>
      <w:r w:rsidRPr="00B71664">
        <w:rPr>
          <w:i/>
          <w:sz w:val="20"/>
          <w:szCs w:val="20"/>
          <w:lang w:val="it-IT"/>
        </w:rPr>
        <w:t>Blood</w:t>
      </w:r>
      <w:r>
        <w:rPr>
          <w:sz w:val="20"/>
          <w:szCs w:val="20"/>
          <w:lang w:val="it-IT"/>
        </w:rPr>
        <w:t>. 2007;110</w:t>
      </w:r>
      <w:r w:rsidRPr="00B71664">
        <w:rPr>
          <w:sz w:val="20"/>
          <w:szCs w:val="20"/>
          <w:lang w:val="it-IT"/>
        </w:rPr>
        <w:t>:1664-1674.</w:t>
      </w:r>
    </w:p>
    <w:p w:rsidR="00AB7090" w:rsidRPr="00CC5E9B" w:rsidRDefault="00AB7090" w:rsidP="00F14BE4">
      <w:pPr>
        <w:spacing w:line="360" w:lineRule="auto"/>
        <w:jc w:val="both"/>
        <w:rPr>
          <w:sz w:val="20"/>
          <w:szCs w:val="20"/>
          <w:lang w:val="it-IT"/>
        </w:rPr>
      </w:pPr>
      <w:r w:rsidRPr="00CC5E9B">
        <w:rPr>
          <w:sz w:val="20"/>
          <w:szCs w:val="20"/>
          <w:vertAlign w:val="superscript"/>
          <w:lang w:val="it-IT"/>
        </w:rPr>
        <w:t>16</w:t>
      </w:r>
      <w:r w:rsidRPr="00CC5E9B">
        <w:rPr>
          <w:sz w:val="20"/>
          <w:szCs w:val="20"/>
          <w:lang w:val="it-IT"/>
        </w:rPr>
        <w:t xml:space="preserve"> </w:t>
      </w:r>
      <w:r w:rsidRPr="00B71664">
        <w:rPr>
          <w:bCs/>
          <w:sz w:val="20"/>
          <w:szCs w:val="20"/>
          <w:lang w:val="it-IT"/>
        </w:rPr>
        <w:t>Mieczkowski A,</w:t>
      </w:r>
      <w:r w:rsidRPr="00B71664">
        <w:rPr>
          <w:sz w:val="20"/>
          <w:szCs w:val="20"/>
          <w:lang w:val="it-IT"/>
        </w:rPr>
        <w:t xml:space="preserve"> Bazlekova M, Bagiński M, Wójcik J, Winczura A, Miazga A, Gajda R, Woźniak K, Tudek, B. </w:t>
      </w:r>
      <w:r w:rsidRPr="00B71664">
        <w:rPr>
          <w:i/>
          <w:sz w:val="20"/>
          <w:szCs w:val="20"/>
          <w:lang w:val="it-IT"/>
        </w:rPr>
        <w:t>Tetrahedron Lett.</w:t>
      </w:r>
      <w:r w:rsidRPr="00B71664">
        <w:rPr>
          <w:sz w:val="20"/>
          <w:szCs w:val="20"/>
          <w:lang w:val="it-IT"/>
        </w:rPr>
        <w:t xml:space="preserve"> 2016;57:743-746.</w:t>
      </w:r>
    </w:p>
    <w:p w:rsidR="00AB7090" w:rsidRPr="00B71664" w:rsidRDefault="00AB7090" w:rsidP="00F14BE4">
      <w:pPr>
        <w:spacing w:line="360" w:lineRule="auto"/>
        <w:jc w:val="both"/>
        <w:rPr>
          <w:sz w:val="20"/>
          <w:szCs w:val="20"/>
        </w:rPr>
      </w:pPr>
      <w:r w:rsidRPr="00B71664">
        <w:rPr>
          <w:sz w:val="20"/>
          <w:szCs w:val="20"/>
          <w:vertAlign w:val="superscript"/>
        </w:rPr>
        <w:t>17</w:t>
      </w:r>
      <w:r w:rsidRPr="00B71664">
        <w:rPr>
          <w:sz w:val="20"/>
          <w:szCs w:val="20"/>
        </w:rPr>
        <w:t xml:space="preserve"> </w:t>
      </w:r>
      <w:r w:rsidRPr="00B71664">
        <w:rPr>
          <w:bCs/>
          <w:sz w:val="20"/>
          <w:szCs w:val="20"/>
        </w:rPr>
        <w:t>Mieczkowski A,</w:t>
      </w:r>
      <w:r w:rsidRPr="00B71664">
        <w:rPr>
          <w:sz w:val="20"/>
          <w:szCs w:val="20"/>
        </w:rPr>
        <w:t xml:space="preserve"> Makowska M, Sekuła J, Tomczyk E, Zalewska E, Nasulewicz-Goldeman A, Wietrzyk J. </w:t>
      </w:r>
      <w:r w:rsidRPr="00B71664">
        <w:rPr>
          <w:i/>
          <w:sz w:val="20"/>
          <w:szCs w:val="20"/>
        </w:rPr>
        <w:t>Tetrahedron</w:t>
      </w:r>
      <w:r w:rsidRPr="00B71664">
        <w:rPr>
          <w:sz w:val="20"/>
          <w:szCs w:val="20"/>
        </w:rPr>
        <w:t>. 2015;71:8454-8461.</w:t>
      </w:r>
    </w:p>
    <w:p w:rsidR="00AB7090" w:rsidRPr="00B71664" w:rsidRDefault="00AB7090" w:rsidP="00B71664">
      <w:pPr>
        <w:autoSpaceDE w:val="0"/>
        <w:autoSpaceDN w:val="0"/>
        <w:adjustRightInd w:val="0"/>
        <w:spacing w:line="360" w:lineRule="auto"/>
        <w:jc w:val="both"/>
        <w:rPr>
          <w:sz w:val="20"/>
          <w:szCs w:val="20"/>
        </w:rPr>
      </w:pPr>
      <w:r w:rsidRPr="00B71664">
        <w:rPr>
          <w:sz w:val="20"/>
          <w:szCs w:val="20"/>
          <w:vertAlign w:val="superscript"/>
        </w:rPr>
        <w:t>18</w:t>
      </w:r>
      <w:r w:rsidRPr="00B71664">
        <w:rPr>
          <w:sz w:val="20"/>
          <w:szCs w:val="20"/>
        </w:rPr>
        <w:t xml:space="preserve"> </w:t>
      </w:r>
      <w:r w:rsidRPr="00B71664">
        <w:rPr>
          <w:bCs/>
          <w:sz w:val="20"/>
          <w:szCs w:val="20"/>
        </w:rPr>
        <w:t>Mieczkowski A,</w:t>
      </w:r>
      <w:r w:rsidRPr="00B71664">
        <w:rPr>
          <w:sz w:val="20"/>
          <w:szCs w:val="20"/>
        </w:rPr>
        <w:t xml:space="preserve"> Tomczyk E, Makowska M, Nasulewicz-Goldeman A, </w:t>
      </w:r>
      <w:r w:rsidRPr="00B71664">
        <w:rPr>
          <w:bCs/>
          <w:sz w:val="20"/>
          <w:szCs w:val="20"/>
        </w:rPr>
        <w:t xml:space="preserve">Gajda R, Woźniak K, </w:t>
      </w:r>
      <w:r w:rsidRPr="00B71664">
        <w:rPr>
          <w:sz w:val="20"/>
          <w:szCs w:val="20"/>
        </w:rPr>
        <w:t>Wietrzyk J.</w:t>
      </w:r>
    </w:p>
    <w:p w:rsidR="00AB7090" w:rsidRPr="00B71664" w:rsidRDefault="00AB7090" w:rsidP="00B71664">
      <w:pPr>
        <w:spacing w:line="360" w:lineRule="auto"/>
        <w:jc w:val="both"/>
        <w:rPr>
          <w:sz w:val="20"/>
          <w:szCs w:val="20"/>
        </w:rPr>
      </w:pPr>
      <w:r w:rsidRPr="00B71664">
        <w:rPr>
          <w:i/>
          <w:iCs/>
          <w:sz w:val="20"/>
          <w:szCs w:val="20"/>
        </w:rPr>
        <w:t>Synthesis</w:t>
      </w:r>
      <w:r w:rsidRPr="00B71664">
        <w:rPr>
          <w:iCs/>
          <w:sz w:val="20"/>
          <w:szCs w:val="20"/>
        </w:rPr>
        <w:t xml:space="preserve">. </w:t>
      </w:r>
      <w:r w:rsidRPr="00B71664">
        <w:rPr>
          <w:sz w:val="20"/>
          <w:szCs w:val="20"/>
        </w:rPr>
        <w:t>2016;48:566-572.</w:t>
      </w:r>
    </w:p>
    <w:p w:rsidR="00AB7090" w:rsidRPr="00B71664" w:rsidRDefault="00AB7090" w:rsidP="00F14BE4">
      <w:pPr>
        <w:spacing w:line="360" w:lineRule="auto"/>
        <w:jc w:val="both"/>
        <w:rPr>
          <w:sz w:val="20"/>
          <w:szCs w:val="20"/>
        </w:rPr>
      </w:pPr>
      <w:r w:rsidRPr="00B71664">
        <w:rPr>
          <w:sz w:val="20"/>
          <w:szCs w:val="20"/>
          <w:vertAlign w:val="superscript"/>
        </w:rPr>
        <w:t>19</w:t>
      </w:r>
      <w:r w:rsidRPr="00B71664">
        <w:rPr>
          <w:sz w:val="20"/>
          <w:szCs w:val="20"/>
        </w:rPr>
        <w:t xml:space="preserve"> Żołnierczyk JD, Olejniczak AB, </w:t>
      </w:r>
      <w:r w:rsidRPr="00B71664">
        <w:rPr>
          <w:bCs/>
          <w:sz w:val="20"/>
          <w:szCs w:val="20"/>
        </w:rPr>
        <w:t>Mieczkowski A,</w:t>
      </w:r>
      <w:r w:rsidRPr="00B71664">
        <w:rPr>
          <w:sz w:val="20"/>
          <w:szCs w:val="20"/>
        </w:rPr>
        <w:t xml:space="preserve"> Błoński JZ, Kiliańska ZM, Robak T, Leśniowski ZJ. </w:t>
      </w:r>
      <w:r w:rsidRPr="00B71664">
        <w:rPr>
          <w:i/>
          <w:sz w:val="20"/>
          <w:szCs w:val="20"/>
        </w:rPr>
        <w:t xml:space="preserve">Bioorg. Med. Chem. </w:t>
      </w:r>
      <w:r w:rsidRPr="00B71664">
        <w:rPr>
          <w:sz w:val="20"/>
          <w:szCs w:val="20"/>
        </w:rPr>
        <w:t>2016;24:5076-5087.</w:t>
      </w:r>
    </w:p>
    <w:p w:rsidR="00AB7090" w:rsidRPr="00B71664" w:rsidRDefault="00AB7090" w:rsidP="00F14BE4">
      <w:pPr>
        <w:spacing w:line="360" w:lineRule="auto"/>
        <w:jc w:val="both"/>
        <w:rPr>
          <w:sz w:val="20"/>
          <w:szCs w:val="20"/>
        </w:rPr>
      </w:pPr>
      <w:r w:rsidRPr="00B71664">
        <w:rPr>
          <w:sz w:val="20"/>
          <w:szCs w:val="20"/>
          <w:vertAlign w:val="superscript"/>
        </w:rPr>
        <w:t>20</w:t>
      </w:r>
      <w:r w:rsidRPr="00B71664">
        <w:rPr>
          <w:sz w:val="20"/>
          <w:szCs w:val="20"/>
        </w:rPr>
        <w:t xml:space="preserve"> Mieczkowski A, Koźmiński W, Jurczak J.</w:t>
      </w:r>
      <w:r w:rsidRPr="00B71664">
        <w:rPr>
          <w:i/>
          <w:iCs/>
          <w:sz w:val="20"/>
          <w:szCs w:val="20"/>
        </w:rPr>
        <w:t xml:space="preserve"> Synthesis</w:t>
      </w:r>
      <w:r w:rsidRPr="00B71664">
        <w:rPr>
          <w:iCs/>
          <w:sz w:val="20"/>
          <w:szCs w:val="20"/>
        </w:rPr>
        <w:t xml:space="preserve">. </w:t>
      </w:r>
      <w:r w:rsidRPr="00B71664">
        <w:rPr>
          <w:sz w:val="20"/>
          <w:szCs w:val="20"/>
        </w:rPr>
        <w:t>2010;42:221-232.</w:t>
      </w:r>
    </w:p>
    <w:p w:rsidR="00AB7090" w:rsidRPr="00B71664" w:rsidRDefault="00AB7090" w:rsidP="00F14BE4">
      <w:pPr>
        <w:spacing w:line="360" w:lineRule="auto"/>
        <w:jc w:val="both"/>
        <w:rPr>
          <w:sz w:val="20"/>
          <w:szCs w:val="20"/>
        </w:rPr>
      </w:pPr>
      <w:r w:rsidRPr="00B71664">
        <w:rPr>
          <w:sz w:val="20"/>
          <w:szCs w:val="20"/>
          <w:vertAlign w:val="superscript"/>
        </w:rPr>
        <w:t>21</w:t>
      </w:r>
      <w:r w:rsidRPr="00B71664">
        <w:rPr>
          <w:sz w:val="20"/>
          <w:szCs w:val="20"/>
        </w:rPr>
        <w:t xml:space="preserve"> Mieczkowski A, Jurczak J.</w:t>
      </w:r>
      <w:r w:rsidRPr="00B71664">
        <w:rPr>
          <w:i/>
          <w:sz w:val="20"/>
          <w:szCs w:val="20"/>
        </w:rPr>
        <w:t xml:space="preserve"> Tetrahedron</w:t>
      </w:r>
      <w:r w:rsidRPr="00B71664">
        <w:rPr>
          <w:sz w:val="20"/>
          <w:szCs w:val="20"/>
        </w:rPr>
        <w:t>. 2010;66:2514-2519.</w:t>
      </w:r>
    </w:p>
    <w:p w:rsidR="00AB7090" w:rsidRPr="00B71664" w:rsidRDefault="00AB7090" w:rsidP="00B71664">
      <w:pPr>
        <w:pStyle w:val="EndnoteText"/>
        <w:spacing w:line="360" w:lineRule="auto"/>
        <w:jc w:val="both"/>
        <w:rPr>
          <w:lang w:val="pl-PL"/>
        </w:rPr>
      </w:pPr>
      <w:r w:rsidRPr="00B71664">
        <w:rPr>
          <w:vertAlign w:val="superscript"/>
          <w:lang w:val="pl-PL"/>
        </w:rPr>
        <w:t>22</w:t>
      </w:r>
      <w:r w:rsidRPr="00B71664">
        <w:rPr>
          <w:lang w:val="pl-PL"/>
        </w:rPr>
        <w:t xml:space="preserve"> Mieczkowski A, Trzybiński D, Wilczek M, Psurski M, Bagiń</w:t>
      </w:r>
      <w:r>
        <w:rPr>
          <w:lang w:val="pl-PL"/>
        </w:rPr>
        <w:t>ski M, Bieszczad B, Mroczkowska</w:t>
      </w:r>
      <w:r w:rsidRPr="00B71664">
        <w:rPr>
          <w:lang w:val="pl-PL"/>
        </w:rPr>
        <w:t xml:space="preserve"> M.; Woźniak, K. </w:t>
      </w:r>
      <w:r w:rsidRPr="00B71664">
        <w:rPr>
          <w:i/>
          <w:lang w:val="pl-PL"/>
        </w:rPr>
        <w:t>Molbank</w:t>
      </w:r>
      <w:r w:rsidRPr="00B71664">
        <w:rPr>
          <w:lang w:val="pl-PL"/>
        </w:rPr>
        <w:t xml:space="preserve"> 2017;M964</w:t>
      </w:r>
      <w:r>
        <w:rPr>
          <w:lang w:val="pl-PL"/>
        </w:rPr>
        <w:t>.</w:t>
      </w:r>
    </w:p>
    <w:p w:rsidR="00AB7090" w:rsidRPr="00CC5E9B" w:rsidRDefault="00AB7090" w:rsidP="00B71664">
      <w:pPr>
        <w:pStyle w:val="EndnoteText"/>
        <w:spacing w:line="360" w:lineRule="auto"/>
        <w:jc w:val="both"/>
        <w:rPr>
          <w:lang w:val="nl-NL"/>
        </w:rPr>
      </w:pPr>
      <w:r w:rsidRPr="00CC5E9B">
        <w:rPr>
          <w:vertAlign w:val="superscript"/>
          <w:lang w:val="nl-NL"/>
        </w:rPr>
        <w:t>23</w:t>
      </w:r>
      <w:r w:rsidRPr="00CC5E9B">
        <w:rPr>
          <w:lang w:val="nl-NL"/>
        </w:rPr>
        <w:t xml:space="preserve"> Spek AL. </w:t>
      </w:r>
      <w:r w:rsidRPr="00CC5E9B">
        <w:rPr>
          <w:i/>
          <w:iCs/>
          <w:lang w:val="nl-NL"/>
        </w:rPr>
        <w:t>Acta Cryst. D</w:t>
      </w:r>
      <w:r w:rsidRPr="00CC5E9B">
        <w:rPr>
          <w:lang w:val="nl-NL"/>
        </w:rPr>
        <w:t xml:space="preserve"> 2009;D65:148-155.</w:t>
      </w:r>
    </w:p>
    <w:sectPr w:rsidR="00AB7090" w:rsidRPr="00CC5E9B" w:rsidSect="00747ECC">
      <w:endnotePr>
        <w:numFmt w:val="decimal"/>
      </w:endnotePr>
      <w:pgSz w:w="12240" w:h="15840"/>
      <w:pgMar w:top="1440" w:right="1608"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090" w:rsidRDefault="00AB7090">
      <w:r>
        <w:separator/>
      </w:r>
    </w:p>
  </w:endnote>
  <w:endnote w:type="continuationSeparator" w:id="0">
    <w:p w:rsidR="00AB7090" w:rsidRDefault="00AB7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Times New Roman"/>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090" w:rsidRDefault="00AB7090">
      <w:r>
        <w:separator/>
      </w:r>
    </w:p>
  </w:footnote>
  <w:footnote w:type="continuationSeparator" w:id="0">
    <w:p w:rsidR="00AB7090" w:rsidRDefault="00AB70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7479B"/>
    <w:multiLevelType w:val="multilevel"/>
    <w:tmpl w:val="8228B1E2"/>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30BD0297"/>
    <w:multiLevelType w:val="hybridMultilevel"/>
    <w:tmpl w:val="0FCE95D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59347BCB"/>
    <w:multiLevelType w:val="hybridMultilevel"/>
    <w:tmpl w:val="964A3F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stylePaneFormatFilter w:val="3F01"/>
  <w:defaultTabStop w:val="720"/>
  <w:hyphenationZone w:val="425"/>
  <w:drawingGridHorizontalSpacing w:val="120"/>
  <w:displayHorizontalDrawingGridEvery w:val="2"/>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979A0"/>
    <w:rsid w:val="0000044E"/>
    <w:rsid w:val="000027DA"/>
    <w:rsid w:val="00002AEC"/>
    <w:rsid w:val="00005212"/>
    <w:rsid w:val="00005E71"/>
    <w:rsid w:val="00006E8A"/>
    <w:rsid w:val="00007D15"/>
    <w:rsid w:val="000116A6"/>
    <w:rsid w:val="000124DE"/>
    <w:rsid w:val="00020062"/>
    <w:rsid w:val="0003297C"/>
    <w:rsid w:val="00032AA8"/>
    <w:rsid w:val="00033BFC"/>
    <w:rsid w:val="00035F7B"/>
    <w:rsid w:val="00041C64"/>
    <w:rsid w:val="00043206"/>
    <w:rsid w:val="000517BF"/>
    <w:rsid w:val="00053582"/>
    <w:rsid w:val="00053A61"/>
    <w:rsid w:val="00062CF8"/>
    <w:rsid w:val="000665A5"/>
    <w:rsid w:val="000672B3"/>
    <w:rsid w:val="00072786"/>
    <w:rsid w:val="00074882"/>
    <w:rsid w:val="000775D0"/>
    <w:rsid w:val="00081693"/>
    <w:rsid w:val="00083C5A"/>
    <w:rsid w:val="00085DCB"/>
    <w:rsid w:val="00093384"/>
    <w:rsid w:val="00097788"/>
    <w:rsid w:val="000A1DEF"/>
    <w:rsid w:val="000A3729"/>
    <w:rsid w:val="000A3A1F"/>
    <w:rsid w:val="000A530F"/>
    <w:rsid w:val="000A5571"/>
    <w:rsid w:val="000A62DE"/>
    <w:rsid w:val="000B175E"/>
    <w:rsid w:val="000B6695"/>
    <w:rsid w:val="000C0D52"/>
    <w:rsid w:val="000C369D"/>
    <w:rsid w:val="000C4443"/>
    <w:rsid w:val="000C5966"/>
    <w:rsid w:val="000C7B8E"/>
    <w:rsid w:val="000D10CB"/>
    <w:rsid w:val="000D2196"/>
    <w:rsid w:val="000D6F38"/>
    <w:rsid w:val="000D7189"/>
    <w:rsid w:val="000E0067"/>
    <w:rsid w:val="000E3AC2"/>
    <w:rsid w:val="000E4CC3"/>
    <w:rsid w:val="000E56A6"/>
    <w:rsid w:val="000F6127"/>
    <w:rsid w:val="000F664D"/>
    <w:rsid w:val="00102245"/>
    <w:rsid w:val="001039C3"/>
    <w:rsid w:val="001057F4"/>
    <w:rsid w:val="00105D58"/>
    <w:rsid w:val="00110809"/>
    <w:rsid w:val="00112123"/>
    <w:rsid w:val="00116620"/>
    <w:rsid w:val="00117048"/>
    <w:rsid w:val="0011709F"/>
    <w:rsid w:val="00117300"/>
    <w:rsid w:val="00117F8A"/>
    <w:rsid w:val="001206EE"/>
    <w:rsid w:val="00124B67"/>
    <w:rsid w:val="0013321C"/>
    <w:rsid w:val="00133EDD"/>
    <w:rsid w:val="00136AAA"/>
    <w:rsid w:val="0013701E"/>
    <w:rsid w:val="00137072"/>
    <w:rsid w:val="00137A07"/>
    <w:rsid w:val="00143873"/>
    <w:rsid w:val="00145968"/>
    <w:rsid w:val="0014632E"/>
    <w:rsid w:val="001476BF"/>
    <w:rsid w:val="00154F26"/>
    <w:rsid w:val="00155010"/>
    <w:rsid w:val="001625A4"/>
    <w:rsid w:val="00166138"/>
    <w:rsid w:val="00166759"/>
    <w:rsid w:val="00176A48"/>
    <w:rsid w:val="001836AB"/>
    <w:rsid w:val="0018392E"/>
    <w:rsid w:val="00187F8C"/>
    <w:rsid w:val="001957C0"/>
    <w:rsid w:val="001A0869"/>
    <w:rsid w:val="001A2E59"/>
    <w:rsid w:val="001A3559"/>
    <w:rsid w:val="001A391F"/>
    <w:rsid w:val="001A71F8"/>
    <w:rsid w:val="001B14B5"/>
    <w:rsid w:val="001B244A"/>
    <w:rsid w:val="001B3A74"/>
    <w:rsid w:val="001B4DC8"/>
    <w:rsid w:val="001C0147"/>
    <w:rsid w:val="001C450E"/>
    <w:rsid w:val="001C46F2"/>
    <w:rsid w:val="001C5E06"/>
    <w:rsid w:val="001C7429"/>
    <w:rsid w:val="001D09A9"/>
    <w:rsid w:val="001D51B4"/>
    <w:rsid w:val="001D75C9"/>
    <w:rsid w:val="001E0238"/>
    <w:rsid w:val="001E065E"/>
    <w:rsid w:val="001E2140"/>
    <w:rsid w:val="001E426E"/>
    <w:rsid w:val="001E552D"/>
    <w:rsid w:val="001E675D"/>
    <w:rsid w:val="001E7AF0"/>
    <w:rsid w:val="001F2733"/>
    <w:rsid w:val="001F512D"/>
    <w:rsid w:val="00203174"/>
    <w:rsid w:val="002039BF"/>
    <w:rsid w:val="00205911"/>
    <w:rsid w:val="00206943"/>
    <w:rsid w:val="00206B06"/>
    <w:rsid w:val="00206F4F"/>
    <w:rsid w:val="002104DB"/>
    <w:rsid w:val="00221697"/>
    <w:rsid w:val="002251D1"/>
    <w:rsid w:val="0022564D"/>
    <w:rsid w:val="002256E3"/>
    <w:rsid w:val="002274A0"/>
    <w:rsid w:val="00227CF0"/>
    <w:rsid w:val="002307E7"/>
    <w:rsid w:val="00231A54"/>
    <w:rsid w:val="0024522F"/>
    <w:rsid w:val="00246FEC"/>
    <w:rsid w:val="00252B96"/>
    <w:rsid w:val="002541F4"/>
    <w:rsid w:val="002562CB"/>
    <w:rsid w:val="002642FC"/>
    <w:rsid w:val="00265519"/>
    <w:rsid w:val="00274364"/>
    <w:rsid w:val="00276591"/>
    <w:rsid w:val="00280E48"/>
    <w:rsid w:val="00281BB2"/>
    <w:rsid w:val="00295F85"/>
    <w:rsid w:val="002979A0"/>
    <w:rsid w:val="002A4815"/>
    <w:rsid w:val="002A6A2F"/>
    <w:rsid w:val="002A726E"/>
    <w:rsid w:val="002A746A"/>
    <w:rsid w:val="002B2050"/>
    <w:rsid w:val="002B2FC9"/>
    <w:rsid w:val="002B39A6"/>
    <w:rsid w:val="002B75AF"/>
    <w:rsid w:val="002C0403"/>
    <w:rsid w:val="002C1683"/>
    <w:rsid w:val="002C4AAF"/>
    <w:rsid w:val="002C4D32"/>
    <w:rsid w:val="002C56A3"/>
    <w:rsid w:val="002D2FBD"/>
    <w:rsid w:val="002D322C"/>
    <w:rsid w:val="002D44B6"/>
    <w:rsid w:val="002D4A2A"/>
    <w:rsid w:val="002D74BC"/>
    <w:rsid w:val="002D7FE2"/>
    <w:rsid w:val="002E02FD"/>
    <w:rsid w:val="002E5960"/>
    <w:rsid w:val="002E6002"/>
    <w:rsid w:val="002E6134"/>
    <w:rsid w:val="002E6449"/>
    <w:rsid w:val="002E72C2"/>
    <w:rsid w:val="002F3323"/>
    <w:rsid w:val="002F3516"/>
    <w:rsid w:val="002F7503"/>
    <w:rsid w:val="00302B3B"/>
    <w:rsid w:val="00304D6F"/>
    <w:rsid w:val="003072F4"/>
    <w:rsid w:val="0031355E"/>
    <w:rsid w:val="00315F2A"/>
    <w:rsid w:val="00316478"/>
    <w:rsid w:val="003165D2"/>
    <w:rsid w:val="0031683C"/>
    <w:rsid w:val="003208A9"/>
    <w:rsid w:val="003209A8"/>
    <w:rsid w:val="00321415"/>
    <w:rsid w:val="00324A97"/>
    <w:rsid w:val="00325B7F"/>
    <w:rsid w:val="00330872"/>
    <w:rsid w:val="003324E9"/>
    <w:rsid w:val="00334E21"/>
    <w:rsid w:val="00335A0D"/>
    <w:rsid w:val="00336F0F"/>
    <w:rsid w:val="00336FB4"/>
    <w:rsid w:val="00337F95"/>
    <w:rsid w:val="00341B33"/>
    <w:rsid w:val="00347935"/>
    <w:rsid w:val="00347B42"/>
    <w:rsid w:val="00353831"/>
    <w:rsid w:val="00355961"/>
    <w:rsid w:val="00357280"/>
    <w:rsid w:val="003572DB"/>
    <w:rsid w:val="00361E13"/>
    <w:rsid w:val="0036218D"/>
    <w:rsid w:val="00362292"/>
    <w:rsid w:val="00362C8D"/>
    <w:rsid w:val="003662BA"/>
    <w:rsid w:val="003662D4"/>
    <w:rsid w:val="003665CB"/>
    <w:rsid w:val="00370948"/>
    <w:rsid w:val="003718D2"/>
    <w:rsid w:val="00373610"/>
    <w:rsid w:val="00374403"/>
    <w:rsid w:val="003813ED"/>
    <w:rsid w:val="0038304A"/>
    <w:rsid w:val="003861F7"/>
    <w:rsid w:val="00386D81"/>
    <w:rsid w:val="00390F22"/>
    <w:rsid w:val="00392DC1"/>
    <w:rsid w:val="00393545"/>
    <w:rsid w:val="00397CA4"/>
    <w:rsid w:val="00397E82"/>
    <w:rsid w:val="003A0425"/>
    <w:rsid w:val="003A0D14"/>
    <w:rsid w:val="003A35E2"/>
    <w:rsid w:val="003A5C95"/>
    <w:rsid w:val="003A604E"/>
    <w:rsid w:val="003A7F55"/>
    <w:rsid w:val="003B0F9F"/>
    <w:rsid w:val="003B49F2"/>
    <w:rsid w:val="003C0469"/>
    <w:rsid w:val="003C137C"/>
    <w:rsid w:val="003C3913"/>
    <w:rsid w:val="003C46A3"/>
    <w:rsid w:val="003C7EAC"/>
    <w:rsid w:val="003D2CC0"/>
    <w:rsid w:val="003D5BBC"/>
    <w:rsid w:val="003E058C"/>
    <w:rsid w:val="003E687F"/>
    <w:rsid w:val="003E7925"/>
    <w:rsid w:val="003F0AE7"/>
    <w:rsid w:val="003F1409"/>
    <w:rsid w:val="003F2BA5"/>
    <w:rsid w:val="003F37D1"/>
    <w:rsid w:val="003F58B0"/>
    <w:rsid w:val="004007D6"/>
    <w:rsid w:val="00400B86"/>
    <w:rsid w:val="00401320"/>
    <w:rsid w:val="0040184D"/>
    <w:rsid w:val="004019B0"/>
    <w:rsid w:val="00401D60"/>
    <w:rsid w:val="00402C6C"/>
    <w:rsid w:val="00402C6D"/>
    <w:rsid w:val="004149A2"/>
    <w:rsid w:val="00414BD1"/>
    <w:rsid w:val="00415D0D"/>
    <w:rsid w:val="00422DB7"/>
    <w:rsid w:val="00424EB3"/>
    <w:rsid w:val="00425C20"/>
    <w:rsid w:val="004261BA"/>
    <w:rsid w:val="0042705F"/>
    <w:rsid w:val="00430959"/>
    <w:rsid w:val="0043202A"/>
    <w:rsid w:val="00435CE8"/>
    <w:rsid w:val="00435F69"/>
    <w:rsid w:val="004451AF"/>
    <w:rsid w:val="004455B9"/>
    <w:rsid w:val="00446049"/>
    <w:rsid w:val="0045043E"/>
    <w:rsid w:val="00451412"/>
    <w:rsid w:val="004522B2"/>
    <w:rsid w:val="0045307F"/>
    <w:rsid w:val="0045589F"/>
    <w:rsid w:val="00456953"/>
    <w:rsid w:val="00461FF5"/>
    <w:rsid w:val="00463B90"/>
    <w:rsid w:val="0047228B"/>
    <w:rsid w:val="00472408"/>
    <w:rsid w:val="00473F57"/>
    <w:rsid w:val="00474C5D"/>
    <w:rsid w:val="00483BF6"/>
    <w:rsid w:val="00483EEC"/>
    <w:rsid w:val="0048417C"/>
    <w:rsid w:val="004847B5"/>
    <w:rsid w:val="0048548E"/>
    <w:rsid w:val="0048695B"/>
    <w:rsid w:val="00486BA6"/>
    <w:rsid w:val="00487F63"/>
    <w:rsid w:val="004918CF"/>
    <w:rsid w:val="00492504"/>
    <w:rsid w:val="004961FC"/>
    <w:rsid w:val="00496E85"/>
    <w:rsid w:val="00496F0A"/>
    <w:rsid w:val="004A1C56"/>
    <w:rsid w:val="004A1E82"/>
    <w:rsid w:val="004A309D"/>
    <w:rsid w:val="004A3865"/>
    <w:rsid w:val="004A4A3D"/>
    <w:rsid w:val="004A5AA9"/>
    <w:rsid w:val="004A7C44"/>
    <w:rsid w:val="004B2604"/>
    <w:rsid w:val="004B5824"/>
    <w:rsid w:val="004D0175"/>
    <w:rsid w:val="004D72B1"/>
    <w:rsid w:val="004E397C"/>
    <w:rsid w:val="004E3A53"/>
    <w:rsid w:val="004E6A3B"/>
    <w:rsid w:val="004F21B6"/>
    <w:rsid w:val="004F4C22"/>
    <w:rsid w:val="004F5552"/>
    <w:rsid w:val="004F6020"/>
    <w:rsid w:val="00501A23"/>
    <w:rsid w:val="00510A7C"/>
    <w:rsid w:val="00514831"/>
    <w:rsid w:val="00516673"/>
    <w:rsid w:val="0052370F"/>
    <w:rsid w:val="0052563D"/>
    <w:rsid w:val="0052576A"/>
    <w:rsid w:val="0052687E"/>
    <w:rsid w:val="005308C3"/>
    <w:rsid w:val="0053234C"/>
    <w:rsid w:val="00532987"/>
    <w:rsid w:val="00536CDF"/>
    <w:rsid w:val="00540679"/>
    <w:rsid w:val="005423D4"/>
    <w:rsid w:val="005437B0"/>
    <w:rsid w:val="005448C7"/>
    <w:rsid w:val="00547506"/>
    <w:rsid w:val="0055003B"/>
    <w:rsid w:val="00553C02"/>
    <w:rsid w:val="005569A0"/>
    <w:rsid w:val="005643E0"/>
    <w:rsid w:val="00566CC1"/>
    <w:rsid w:val="00571203"/>
    <w:rsid w:val="00573EB8"/>
    <w:rsid w:val="005744DC"/>
    <w:rsid w:val="00575F4C"/>
    <w:rsid w:val="0058417B"/>
    <w:rsid w:val="00585AB2"/>
    <w:rsid w:val="0058698A"/>
    <w:rsid w:val="00587BDA"/>
    <w:rsid w:val="00591DC8"/>
    <w:rsid w:val="005920CE"/>
    <w:rsid w:val="0059291E"/>
    <w:rsid w:val="00592998"/>
    <w:rsid w:val="00595958"/>
    <w:rsid w:val="00597261"/>
    <w:rsid w:val="005A25BA"/>
    <w:rsid w:val="005B442D"/>
    <w:rsid w:val="005B6056"/>
    <w:rsid w:val="005C0144"/>
    <w:rsid w:val="005C06B1"/>
    <w:rsid w:val="005C45E5"/>
    <w:rsid w:val="005C5A7B"/>
    <w:rsid w:val="005C5B31"/>
    <w:rsid w:val="005C674C"/>
    <w:rsid w:val="005C7897"/>
    <w:rsid w:val="005D0C58"/>
    <w:rsid w:val="005D3CBB"/>
    <w:rsid w:val="005D6983"/>
    <w:rsid w:val="005D6A23"/>
    <w:rsid w:val="005D7C74"/>
    <w:rsid w:val="005E14E1"/>
    <w:rsid w:val="005E1510"/>
    <w:rsid w:val="005E3A65"/>
    <w:rsid w:val="005F03C7"/>
    <w:rsid w:val="005F0663"/>
    <w:rsid w:val="005F2546"/>
    <w:rsid w:val="005F2C4E"/>
    <w:rsid w:val="005F6383"/>
    <w:rsid w:val="005F67A3"/>
    <w:rsid w:val="005F748A"/>
    <w:rsid w:val="006039BC"/>
    <w:rsid w:val="00604387"/>
    <w:rsid w:val="0060514F"/>
    <w:rsid w:val="006113F2"/>
    <w:rsid w:val="00611C85"/>
    <w:rsid w:val="00615E65"/>
    <w:rsid w:val="00624296"/>
    <w:rsid w:val="00636625"/>
    <w:rsid w:val="00640764"/>
    <w:rsid w:val="00640B44"/>
    <w:rsid w:val="0064214C"/>
    <w:rsid w:val="00643E04"/>
    <w:rsid w:val="006447E1"/>
    <w:rsid w:val="0064702B"/>
    <w:rsid w:val="00650063"/>
    <w:rsid w:val="00650857"/>
    <w:rsid w:val="00654805"/>
    <w:rsid w:val="006563D3"/>
    <w:rsid w:val="00656EB2"/>
    <w:rsid w:val="00657E01"/>
    <w:rsid w:val="00657EB3"/>
    <w:rsid w:val="00660050"/>
    <w:rsid w:val="00660472"/>
    <w:rsid w:val="0066230F"/>
    <w:rsid w:val="00667FCA"/>
    <w:rsid w:val="006712F4"/>
    <w:rsid w:val="0067185F"/>
    <w:rsid w:val="00672331"/>
    <w:rsid w:val="006724FA"/>
    <w:rsid w:val="00672636"/>
    <w:rsid w:val="0067519D"/>
    <w:rsid w:val="00677D9C"/>
    <w:rsid w:val="006862DA"/>
    <w:rsid w:val="006937B8"/>
    <w:rsid w:val="0069432C"/>
    <w:rsid w:val="0069449E"/>
    <w:rsid w:val="006A1645"/>
    <w:rsid w:val="006A2168"/>
    <w:rsid w:val="006A4036"/>
    <w:rsid w:val="006A4542"/>
    <w:rsid w:val="006A6E05"/>
    <w:rsid w:val="006B3FC7"/>
    <w:rsid w:val="006B4D68"/>
    <w:rsid w:val="006B4F15"/>
    <w:rsid w:val="006B57E8"/>
    <w:rsid w:val="006B7173"/>
    <w:rsid w:val="006C02D5"/>
    <w:rsid w:val="006C2A0B"/>
    <w:rsid w:val="006C36AA"/>
    <w:rsid w:val="006C4015"/>
    <w:rsid w:val="006C5D34"/>
    <w:rsid w:val="006C69C6"/>
    <w:rsid w:val="006D07DA"/>
    <w:rsid w:val="006D3B46"/>
    <w:rsid w:val="006E0941"/>
    <w:rsid w:val="006E1386"/>
    <w:rsid w:val="006E2833"/>
    <w:rsid w:val="006E29C5"/>
    <w:rsid w:val="006E6EEF"/>
    <w:rsid w:val="006F2BA2"/>
    <w:rsid w:val="006F3DA4"/>
    <w:rsid w:val="006F4E00"/>
    <w:rsid w:val="006F5A52"/>
    <w:rsid w:val="00700E85"/>
    <w:rsid w:val="00702273"/>
    <w:rsid w:val="007146C7"/>
    <w:rsid w:val="00715B30"/>
    <w:rsid w:val="00715DD7"/>
    <w:rsid w:val="00723E4B"/>
    <w:rsid w:val="007255DD"/>
    <w:rsid w:val="00736473"/>
    <w:rsid w:val="007366B2"/>
    <w:rsid w:val="007402BE"/>
    <w:rsid w:val="007434E2"/>
    <w:rsid w:val="007472CE"/>
    <w:rsid w:val="00747ECC"/>
    <w:rsid w:val="0075028C"/>
    <w:rsid w:val="007524CC"/>
    <w:rsid w:val="00756FDE"/>
    <w:rsid w:val="00761887"/>
    <w:rsid w:val="007629A1"/>
    <w:rsid w:val="0076351E"/>
    <w:rsid w:val="00764BA0"/>
    <w:rsid w:val="00766064"/>
    <w:rsid w:val="00766889"/>
    <w:rsid w:val="007675F6"/>
    <w:rsid w:val="0077236D"/>
    <w:rsid w:val="00772BA7"/>
    <w:rsid w:val="00773EDA"/>
    <w:rsid w:val="007748C2"/>
    <w:rsid w:val="00774C86"/>
    <w:rsid w:val="00782E17"/>
    <w:rsid w:val="00787511"/>
    <w:rsid w:val="00792D4A"/>
    <w:rsid w:val="00793EC1"/>
    <w:rsid w:val="00796B62"/>
    <w:rsid w:val="007970CB"/>
    <w:rsid w:val="007A26D5"/>
    <w:rsid w:val="007A714C"/>
    <w:rsid w:val="007B0592"/>
    <w:rsid w:val="007B0E6D"/>
    <w:rsid w:val="007B1308"/>
    <w:rsid w:val="007B3CA0"/>
    <w:rsid w:val="007B5184"/>
    <w:rsid w:val="007B7062"/>
    <w:rsid w:val="007C3F2A"/>
    <w:rsid w:val="007D1115"/>
    <w:rsid w:val="007D53DF"/>
    <w:rsid w:val="007D61EA"/>
    <w:rsid w:val="007D644C"/>
    <w:rsid w:val="007E5507"/>
    <w:rsid w:val="007F0437"/>
    <w:rsid w:val="007F1975"/>
    <w:rsid w:val="007F47EC"/>
    <w:rsid w:val="007F7C5C"/>
    <w:rsid w:val="0080073D"/>
    <w:rsid w:val="0080148F"/>
    <w:rsid w:val="00804E9A"/>
    <w:rsid w:val="0081317B"/>
    <w:rsid w:val="00813969"/>
    <w:rsid w:val="00813C5F"/>
    <w:rsid w:val="00814B77"/>
    <w:rsid w:val="00816733"/>
    <w:rsid w:val="008174E0"/>
    <w:rsid w:val="00817D4C"/>
    <w:rsid w:val="00820086"/>
    <w:rsid w:val="00821B8A"/>
    <w:rsid w:val="00823FC1"/>
    <w:rsid w:val="00824917"/>
    <w:rsid w:val="00831C55"/>
    <w:rsid w:val="008320BE"/>
    <w:rsid w:val="00835084"/>
    <w:rsid w:val="0083564D"/>
    <w:rsid w:val="00835E87"/>
    <w:rsid w:val="008368E7"/>
    <w:rsid w:val="0084057C"/>
    <w:rsid w:val="008405FD"/>
    <w:rsid w:val="008406D8"/>
    <w:rsid w:val="00840759"/>
    <w:rsid w:val="0084076F"/>
    <w:rsid w:val="00842F6D"/>
    <w:rsid w:val="00843BFC"/>
    <w:rsid w:val="00844D7D"/>
    <w:rsid w:val="0084591D"/>
    <w:rsid w:val="00847177"/>
    <w:rsid w:val="00850643"/>
    <w:rsid w:val="00852951"/>
    <w:rsid w:val="00852A38"/>
    <w:rsid w:val="008530AA"/>
    <w:rsid w:val="00855C5A"/>
    <w:rsid w:val="0086187A"/>
    <w:rsid w:val="008620F5"/>
    <w:rsid w:val="008639CA"/>
    <w:rsid w:val="00864B54"/>
    <w:rsid w:val="00866EB4"/>
    <w:rsid w:val="00870E8D"/>
    <w:rsid w:val="00880B01"/>
    <w:rsid w:val="00882B4B"/>
    <w:rsid w:val="00884577"/>
    <w:rsid w:val="00884EF9"/>
    <w:rsid w:val="00885445"/>
    <w:rsid w:val="00886069"/>
    <w:rsid w:val="00886EFA"/>
    <w:rsid w:val="00892F1F"/>
    <w:rsid w:val="008937FA"/>
    <w:rsid w:val="00896889"/>
    <w:rsid w:val="008A196E"/>
    <w:rsid w:val="008A1DB5"/>
    <w:rsid w:val="008A3A5E"/>
    <w:rsid w:val="008A3BEC"/>
    <w:rsid w:val="008A4486"/>
    <w:rsid w:val="008A4745"/>
    <w:rsid w:val="008A5740"/>
    <w:rsid w:val="008A60D6"/>
    <w:rsid w:val="008B2B5D"/>
    <w:rsid w:val="008B3D56"/>
    <w:rsid w:val="008B44D1"/>
    <w:rsid w:val="008B570B"/>
    <w:rsid w:val="008B6133"/>
    <w:rsid w:val="008B6673"/>
    <w:rsid w:val="008B7438"/>
    <w:rsid w:val="008B7BFF"/>
    <w:rsid w:val="008C53C1"/>
    <w:rsid w:val="008C6028"/>
    <w:rsid w:val="008C71AD"/>
    <w:rsid w:val="008D1723"/>
    <w:rsid w:val="008D6C4E"/>
    <w:rsid w:val="008D7A57"/>
    <w:rsid w:val="008D7E2E"/>
    <w:rsid w:val="008E030A"/>
    <w:rsid w:val="008E335F"/>
    <w:rsid w:val="008E3891"/>
    <w:rsid w:val="008E5D69"/>
    <w:rsid w:val="008F7FA6"/>
    <w:rsid w:val="00901438"/>
    <w:rsid w:val="009021BB"/>
    <w:rsid w:val="00902D8F"/>
    <w:rsid w:val="00912069"/>
    <w:rsid w:val="00912AEF"/>
    <w:rsid w:val="009150AE"/>
    <w:rsid w:val="0091536B"/>
    <w:rsid w:val="00917EA0"/>
    <w:rsid w:val="0092000D"/>
    <w:rsid w:val="009223D3"/>
    <w:rsid w:val="00924590"/>
    <w:rsid w:val="00924F3B"/>
    <w:rsid w:val="00926670"/>
    <w:rsid w:val="0092674E"/>
    <w:rsid w:val="00926E65"/>
    <w:rsid w:val="009276F3"/>
    <w:rsid w:val="009323AD"/>
    <w:rsid w:val="00945D5A"/>
    <w:rsid w:val="00954948"/>
    <w:rsid w:val="0095799B"/>
    <w:rsid w:val="0096156B"/>
    <w:rsid w:val="009654EE"/>
    <w:rsid w:val="00965DE3"/>
    <w:rsid w:val="00966592"/>
    <w:rsid w:val="009712E0"/>
    <w:rsid w:val="00973560"/>
    <w:rsid w:val="0098141B"/>
    <w:rsid w:val="00982A69"/>
    <w:rsid w:val="00983F8A"/>
    <w:rsid w:val="00985424"/>
    <w:rsid w:val="00985D67"/>
    <w:rsid w:val="00986C82"/>
    <w:rsid w:val="009952C2"/>
    <w:rsid w:val="009961E1"/>
    <w:rsid w:val="009A03A6"/>
    <w:rsid w:val="009A39EB"/>
    <w:rsid w:val="009A4C38"/>
    <w:rsid w:val="009B1B04"/>
    <w:rsid w:val="009B268D"/>
    <w:rsid w:val="009B2B35"/>
    <w:rsid w:val="009B37BF"/>
    <w:rsid w:val="009B59BD"/>
    <w:rsid w:val="009B645C"/>
    <w:rsid w:val="009B6799"/>
    <w:rsid w:val="009C15F6"/>
    <w:rsid w:val="009C650E"/>
    <w:rsid w:val="009D05F5"/>
    <w:rsid w:val="009D0FFA"/>
    <w:rsid w:val="009D1BE5"/>
    <w:rsid w:val="009D1D9B"/>
    <w:rsid w:val="009D296A"/>
    <w:rsid w:val="009D3FAD"/>
    <w:rsid w:val="009D5142"/>
    <w:rsid w:val="009D5DB9"/>
    <w:rsid w:val="009D6AEB"/>
    <w:rsid w:val="009E2346"/>
    <w:rsid w:val="009E2F15"/>
    <w:rsid w:val="009E4724"/>
    <w:rsid w:val="009E7E99"/>
    <w:rsid w:val="009F0230"/>
    <w:rsid w:val="009F469F"/>
    <w:rsid w:val="009F781D"/>
    <w:rsid w:val="00A00990"/>
    <w:rsid w:val="00A058E9"/>
    <w:rsid w:val="00A13154"/>
    <w:rsid w:val="00A1338D"/>
    <w:rsid w:val="00A20018"/>
    <w:rsid w:val="00A22F7D"/>
    <w:rsid w:val="00A24927"/>
    <w:rsid w:val="00A2498E"/>
    <w:rsid w:val="00A26888"/>
    <w:rsid w:val="00A2716B"/>
    <w:rsid w:val="00A358C8"/>
    <w:rsid w:val="00A36EB1"/>
    <w:rsid w:val="00A44F2E"/>
    <w:rsid w:val="00A45B24"/>
    <w:rsid w:val="00A56937"/>
    <w:rsid w:val="00A57C97"/>
    <w:rsid w:val="00A600BC"/>
    <w:rsid w:val="00A60FCF"/>
    <w:rsid w:val="00A61B0E"/>
    <w:rsid w:val="00A6339A"/>
    <w:rsid w:val="00A639C4"/>
    <w:rsid w:val="00A65F0D"/>
    <w:rsid w:val="00A6711B"/>
    <w:rsid w:val="00A74034"/>
    <w:rsid w:val="00A75BF3"/>
    <w:rsid w:val="00A76A3A"/>
    <w:rsid w:val="00A805F5"/>
    <w:rsid w:val="00A80AAC"/>
    <w:rsid w:val="00A81A00"/>
    <w:rsid w:val="00A81BAA"/>
    <w:rsid w:val="00A9098E"/>
    <w:rsid w:val="00A90D3A"/>
    <w:rsid w:val="00A91560"/>
    <w:rsid w:val="00A92293"/>
    <w:rsid w:val="00A9238F"/>
    <w:rsid w:val="00AA1ADC"/>
    <w:rsid w:val="00AA1F5A"/>
    <w:rsid w:val="00AA2B3D"/>
    <w:rsid w:val="00AA5DCC"/>
    <w:rsid w:val="00AB224B"/>
    <w:rsid w:val="00AB3D52"/>
    <w:rsid w:val="00AB6A74"/>
    <w:rsid w:val="00AB7090"/>
    <w:rsid w:val="00AB7552"/>
    <w:rsid w:val="00AB7BE3"/>
    <w:rsid w:val="00AC0669"/>
    <w:rsid w:val="00AC1232"/>
    <w:rsid w:val="00AC1F10"/>
    <w:rsid w:val="00AC2206"/>
    <w:rsid w:val="00AC2E81"/>
    <w:rsid w:val="00AC2F06"/>
    <w:rsid w:val="00AC356B"/>
    <w:rsid w:val="00AC5546"/>
    <w:rsid w:val="00AD0CD3"/>
    <w:rsid w:val="00AD5C6A"/>
    <w:rsid w:val="00AE2AB6"/>
    <w:rsid w:val="00AE32FA"/>
    <w:rsid w:val="00AE47B2"/>
    <w:rsid w:val="00AE6BAA"/>
    <w:rsid w:val="00AF27BF"/>
    <w:rsid w:val="00AF3D67"/>
    <w:rsid w:val="00AF7605"/>
    <w:rsid w:val="00B03692"/>
    <w:rsid w:val="00B041FF"/>
    <w:rsid w:val="00B04767"/>
    <w:rsid w:val="00B051A9"/>
    <w:rsid w:val="00B065AD"/>
    <w:rsid w:val="00B168A9"/>
    <w:rsid w:val="00B178DE"/>
    <w:rsid w:val="00B210BD"/>
    <w:rsid w:val="00B233FF"/>
    <w:rsid w:val="00B31692"/>
    <w:rsid w:val="00B33DBD"/>
    <w:rsid w:val="00B34625"/>
    <w:rsid w:val="00B3721E"/>
    <w:rsid w:val="00B3737D"/>
    <w:rsid w:val="00B46E12"/>
    <w:rsid w:val="00B47FC1"/>
    <w:rsid w:val="00B507D8"/>
    <w:rsid w:val="00B570A6"/>
    <w:rsid w:val="00B71119"/>
    <w:rsid w:val="00B71664"/>
    <w:rsid w:val="00B72A3C"/>
    <w:rsid w:val="00B73FE0"/>
    <w:rsid w:val="00B7417B"/>
    <w:rsid w:val="00B74FCA"/>
    <w:rsid w:val="00B756CC"/>
    <w:rsid w:val="00B76849"/>
    <w:rsid w:val="00B83BFE"/>
    <w:rsid w:val="00B8793D"/>
    <w:rsid w:val="00B9047A"/>
    <w:rsid w:val="00B917B1"/>
    <w:rsid w:val="00B92B5F"/>
    <w:rsid w:val="00B95008"/>
    <w:rsid w:val="00B95175"/>
    <w:rsid w:val="00B96E2E"/>
    <w:rsid w:val="00BA10D6"/>
    <w:rsid w:val="00BA55E5"/>
    <w:rsid w:val="00BA56C2"/>
    <w:rsid w:val="00BA5B7E"/>
    <w:rsid w:val="00BB14DD"/>
    <w:rsid w:val="00BB1B5F"/>
    <w:rsid w:val="00BB2394"/>
    <w:rsid w:val="00BC320B"/>
    <w:rsid w:val="00BD2D4E"/>
    <w:rsid w:val="00BD4F2B"/>
    <w:rsid w:val="00BE1D43"/>
    <w:rsid w:val="00BE34C9"/>
    <w:rsid w:val="00BE4A0D"/>
    <w:rsid w:val="00BE5531"/>
    <w:rsid w:val="00BF09FC"/>
    <w:rsid w:val="00BF3224"/>
    <w:rsid w:val="00C00FAA"/>
    <w:rsid w:val="00C013FD"/>
    <w:rsid w:val="00C01C37"/>
    <w:rsid w:val="00C01E93"/>
    <w:rsid w:val="00C07F91"/>
    <w:rsid w:val="00C07FC4"/>
    <w:rsid w:val="00C10B55"/>
    <w:rsid w:val="00C110E5"/>
    <w:rsid w:val="00C143EC"/>
    <w:rsid w:val="00C168F7"/>
    <w:rsid w:val="00C2385D"/>
    <w:rsid w:val="00C3285E"/>
    <w:rsid w:val="00C330A0"/>
    <w:rsid w:val="00C4011A"/>
    <w:rsid w:val="00C402F1"/>
    <w:rsid w:val="00C41DFB"/>
    <w:rsid w:val="00C42962"/>
    <w:rsid w:val="00C44E2B"/>
    <w:rsid w:val="00C46B68"/>
    <w:rsid w:val="00C47353"/>
    <w:rsid w:val="00C50D5A"/>
    <w:rsid w:val="00C52F94"/>
    <w:rsid w:val="00C5346B"/>
    <w:rsid w:val="00C54BC0"/>
    <w:rsid w:val="00C606C5"/>
    <w:rsid w:val="00C61E03"/>
    <w:rsid w:val="00C62F1D"/>
    <w:rsid w:val="00C65527"/>
    <w:rsid w:val="00C663AA"/>
    <w:rsid w:val="00C7050E"/>
    <w:rsid w:val="00C71F42"/>
    <w:rsid w:val="00C75A0B"/>
    <w:rsid w:val="00C76EED"/>
    <w:rsid w:val="00C842F6"/>
    <w:rsid w:val="00C84AFB"/>
    <w:rsid w:val="00C92496"/>
    <w:rsid w:val="00C9452B"/>
    <w:rsid w:val="00C95620"/>
    <w:rsid w:val="00C9678D"/>
    <w:rsid w:val="00CA1110"/>
    <w:rsid w:val="00CA1588"/>
    <w:rsid w:val="00CA1EB3"/>
    <w:rsid w:val="00CA48DE"/>
    <w:rsid w:val="00CA6E66"/>
    <w:rsid w:val="00CB34A7"/>
    <w:rsid w:val="00CB5091"/>
    <w:rsid w:val="00CB7086"/>
    <w:rsid w:val="00CB7273"/>
    <w:rsid w:val="00CC5E9B"/>
    <w:rsid w:val="00CD5305"/>
    <w:rsid w:val="00CD5822"/>
    <w:rsid w:val="00CE1C26"/>
    <w:rsid w:val="00CE2F31"/>
    <w:rsid w:val="00CE5892"/>
    <w:rsid w:val="00CE6872"/>
    <w:rsid w:val="00CE733A"/>
    <w:rsid w:val="00CF072E"/>
    <w:rsid w:val="00CF0883"/>
    <w:rsid w:val="00CF1335"/>
    <w:rsid w:val="00CF18C7"/>
    <w:rsid w:val="00CF3535"/>
    <w:rsid w:val="00CF4797"/>
    <w:rsid w:val="00CF624C"/>
    <w:rsid w:val="00D04D4C"/>
    <w:rsid w:val="00D05B29"/>
    <w:rsid w:val="00D102AA"/>
    <w:rsid w:val="00D11F32"/>
    <w:rsid w:val="00D166FA"/>
    <w:rsid w:val="00D22A62"/>
    <w:rsid w:val="00D2368F"/>
    <w:rsid w:val="00D27B42"/>
    <w:rsid w:val="00D30730"/>
    <w:rsid w:val="00D32592"/>
    <w:rsid w:val="00D32F70"/>
    <w:rsid w:val="00D3567B"/>
    <w:rsid w:val="00D4534A"/>
    <w:rsid w:val="00D47DCD"/>
    <w:rsid w:val="00D51FDA"/>
    <w:rsid w:val="00D53817"/>
    <w:rsid w:val="00D556E9"/>
    <w:rsid w:val="00D55DAF"/>
    <w:rsid w:val="00D56413"/>
    <w:rsid w:val="00D569BA"/>
    <w:rsid w:val="00D6164D"/>
    <w:rsid w:val="00D7259B"/>
    <w:rsid w:val="00D74227"/>
    <w:rsid w:val="00D74FD4"/>
    <w:rsid w:val="00D75F48"/>
    <w:rsid w:val="00D7609A"/>
    <w:rsid w:val="00D807AF"/>
    <w:rsid w:val="00D81ED7"/>
    <w:rsid w:val="00D8743B"/>
    <w:rsid w:val="00D90FCA"/>
    <w:rsid w:val="00D91653"/>
    <w:rsid w:val="00D9250F"/>
    <w:rsid w:val="00D925BA"/>
    <w:rsid w:val="00D94D53"/>
    <w:rsid w:val="00DA120B"/>
    <w:rsid w:val="00DA18D6"/>
    <w:rsid w:val="00DA1F6B"/>
    <w:rsid w:val="00DA2858"/>
    <w:rsid w:val="00DA2A80"/>
    <w:rsid w:val="00DA30A9"/>
    <w:rsid w:val="00DA7A44"/>
    <w:rsid w:val="00DB12FF"/>
    <w:rsid w:val="00DB2731"/>
    <w:rsid w:val="00DB28C4"/>
    <w:rsid w:val="00DB6B73"/>
    <w:rsid w:val="00DB761A"/>
    <w:rsid w:val="00DC0FE9"/>
    <w:rsid w:val="00DC16CD"/>
    <w:rsid w:val="00DC2EA1"/>
    <w:rsid w:val="00DC46C1"/>
    <w:rsid w:val="00DC61E7"/>
    <w:rsid w:val="00DD1ECF"/>
    <w:rsid w:val="00DD7F99"/>
    <w:rsid w:val="00DE038F"/>
    <w:rsid w:val="00DE1B28"/>
    <w:rsid w:val="00DE3162"/>
    <w:rsid w:val="00DE3C3E"/>
    <w:rsid w:val="00DF09AA"/>
    <w:rsid w:val="00DF1E6D"/>
    <w:rsid w:val="00DF2061"/>
    <w:rsid w:val="00DF2A26"/>
    <w:rsid w:val="00DF49E6"/>
    <w:rsid w:val="00DF598D"/>
    <w:rsid w:val="00E00E43"/>
    <w:rsid w:val="00E033B3"/>
    <w:rsid w:val="00E05085"/>
    <w:rsid w:val="00E05917"/>
    <w:rsid w:val="00E06167"/>
    <w:rsid w:val="00E10B41"/>
    <w:rsid w:val="00E14877"/>
    <w:rsid w:val="00E14BEB"/>
    <w:rsid w:val="00E2232A"/>
    <w:rsid w:val="00E2382E"/>
    <w:rsid w:val="00E24F67"/>
    <w:rsid w:val="00E32C23"/>
    <w:rsid w:val="00E33338"/>
    <w:rsid w:val="00E343E6"/>
    <w:rsid w:val="00E34E41"/>
    <w:rsid w:val="00E3571F"/>
    <w:rsid w:val="00E422F9"/>
    <w:rsid w:val="00E500C9"/>
    <w:rsid w:val="00E51B90"/>
    <w:rsid w:val="00E55272"/>
    <w:rsid w:val="00E61D7F"/>
    <w:rsid w:val="00E63150"/>
    <w:rsid w:val="00E633D4"/>
    <w:rsid w:val="00E6543C"/>
    <w:rsid w:val="00E659AB"/>
    <w:rsid w:val="00E66B5B"/>
    <w:rsid w:val="00E70265"/>
    <w:rsid w:val="00E740A2"/>
    <w:rsid w:val="00E84B94"/>
    <w:rsid w:val="00E90F69"/>
    <w:rsid w:val="00E926F1"/>
    <w:rsid w:val="00E93691"/>
    <w:rsid w:val="00E93EA7"/>
    <w:rsid w:val="00E94A05"/>
    <w:rsid w:val="00E96244"/>
    <w:rsid w:val="00E9778F"/>
    <w:rsid w:val="00EA5318"/>
    <w:rsid w:val="00EA67DA"/>
    <w:rsid w:val="00EA78FE"/>
    <w:rsid w:val="00EA7CA3"/>
    <w:rsid w:val="00EB5165"/>
    <w:rsid w:val="00EB598A"/>
    <w:rsid w:val="00EB61B6"/>
    <w:rsid w:val="00EB6567"/>
    <w:rsid w:val="00EC00B4"/>
    <w:rsid w:val="00EC2A82"/>
    <w:rsid w:val="00ED1518"/>
    <w:rsid w:val="00ED2542"/>
    <w:rsid w:val="00ED4355"/>
    <w:rsid w:val="00ED7120"/>
    <w:rsid w:val="00EE1EF3"/>
    <w:rsid w:val="00EE305C"/>
    <w:rsid w:val="00EE521F"/>
    <w:rsid w:val="00EF099D"/>
    <w:rsid w:val="00EF1087"/>
    <w:rsid w:val="00EF14CA"/>
    <w:rsid w:val="00EF1516"/>
    <w:rsid w:val="00EF21A3"/>
    <w:rsid w:val="00EF3888"/>
    <w:rsid w:val="00EF5130"/>
    <w:rsid w:val="00EF573E"/>
    <w:rsid w:val="00EF7742"/>
    <w:rsid w:val="00EF790E"/>
    <w:rsid w:val="00F1159E"/>
    <w:rsid w:val="00F125BB"/>
    <w:rsid w:val="00F14A00"/>
    <w:rsid w:val="00F14BE4"/>
    <w:rsid w:val="00F163C8"/>
    <w:rsid w:val="00F2379E"/>
    <w:rsid w:val="00F24412"/>
    <w:rsid w:val="00F276FB"/>
    <w:rsid w:val="00F348C3"/>
    <w:rsid w:val="00F36241"/>
    <w:rsid w:val="00F402BA"/>
    <w:rsid w:val="00F409D7"/>
    <w:rsid w:val="00F410EC"/>
    <w:rsid w:val="00F410EE"/>
    <w:rsid w:val="00F43DEF"/>
    <w:rsid w:val="00F457D5"/>
    <w:rsid w:val="00F46FC5"/>
    <w:rsid w:val="00F47290"/>
    <w:rsid w:val="00F47665"/>
    <w:rsid w:val="00F5366A"/>
    <w:rsid w:val="00F604FC"/>
    <w:rsid w:val="00F6203E"/>
    <w:rsid w:val="00F6533A"/>
    <w:rsid w:val="00F704C5"/>
    <w:rsid w:val="00F7141F"/>
    <w:rsid w:val="00F7450F"/>
    <w:rsid w:val="00F74D93"/>
    <w:rsid w:val="00F7585A"/>
    <w:rsid w:val="00F77AC0"/>
    <w:rsid w:val="00F8237E"/>
    <w:rsid w:val="00F82794"/>
    <w:rsid w:val="00F8653D"/>
    <w:rsid w:val="00F90795"/>
    <w:rsid w:val="00F9280E"/>
    <w:rsid w:val="00F935EA"/>
    <w:rsid w:val="00F9390D"/>
    <w:rsid w:val="00F97DF2"/>
    <w:rsid w:val="00FA0B22"/>
    <w:rsid w:val="00FA11B0"/>
    <w:rsid w:val="00FA1400"/>
    <w:rsid w:val="00FA1405"/>
    <w:rsid w:val="00FA236D"/>
    <w:rsid w:val="00FA438B"/>
    <w:rsid w:val="00FA69B8"/>
    <w:rsid w:val="00FA78B0"/>
    <w:rsid w:val="00FB37C6"/>
    <w:rsid w:val="00FB4537"/>
    <w:rsid w:val="00FC0757"/>
    <w:rsid w:val="00FC2B1F"/>
    <w:rsid w:val="00FC5EEE"/>
    <w:rsid w:val="00FD0572"/>
    <w:rsid w:val="00FD245C"/>
    <w:rsid w:val="00FD3C13"/>
    <w:rsid w:val="00FD4BE5"/>
    <w:rsid w:val="00FD4C22"/>
    <w:rsid w:val="00FD52FE"/>
    <w:rsid w:val="00FD6F4A"/>
    <w:rsid w:val="00FE22A7"/>
    <w:rsid w:val="00FE263C"/>
    <w:rsid w:val="00FE3A59"/>
    <w:rsid w:val="00FE494F"/>
    <w:rsid w:val="00FE514C"/>
    <w:rsid w:val="00FE5171"/>
    <w:rsid w:val="00FE6279"/>
    <w:rsid w:val="00FF0394"/>
    <w:rsid w:val="00FF2B28"/>
    <w:rsid w:val="00FF7C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4DB"/>
    <w:rPr>
      <w:sz w:val="24"/>
      <w:szCs w:val="24"/>
      <w:lang w:val="pl-PL" w:eastAsia="en-US"/>
    </w:rPr>
  </w:style>
  <w:style w:type="paragraph" w:styleId="Heading1">
    <w:name w:val="heading 1"/>
    <w:basedOn w:val="Normal"/>
    <w:link w:val="Heading1Char"/>
    <w:uiPriority w:val="99"/>
    <w:qFormat/>
    <w:rsid w:val="009C15F6"/>
    <w:pPr>
      <w:spacing w:before="100" w:beforeAutospacing="1" w:after="100" w:afterAutospacing="1"/>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3150"/>
    <w:rPr>
      <w:rFonts w:ascii="Cambria" w:hAnsi="Cambria" w:cs="Times New Roman"/>
      <w:b/>
      <w:kern w:val="32"/>
      <w:sz w:val="32"/>
      <w:lang w:val="pl-PL" w:eastAsia="en-US"/>
    </w:rPr>
  </w:style>
  <w:style w:type="paragraph" w:styleId="FootnoteText">
    <w:name w:val="footnote text"/>
    <w:basedOn w:val="Normal"/>
    <w:link w:val="FootnoteTextChar"/>
    <w:uiPriority w:val="99"/>
    <w:semiHidden/>
    <w:rsid w:val="001D75C9"/>
    <w:rPr>
      <w:sz w:val="20"/>
      <w:szCs w:val="20"/>
    </w:rPr>
  </w:style>
  <w:style w:type="character" w:customStyle="1" w:styleId="FootnoteTextChar">
    <w:name w:val="Footnote Text Char"/>
    <w:basedOn w:val="DefaultParagraphFont"/>
    <w:link w:val="FootnoteText"/>
    <w:uiPriority w:val="99"/>
    <w:semiHidden/>
    <w:locked/>
    <w:rsid w:val="00E63150"/>
    <w:rPr>
      <w:rFonts w:cs="Times New Roman"/>
      <w:sz w:val="20"/>
      <w:lang w:val="pl-PL" w:eastAsia="en-US"/>
    </w:rPr>
  </w:style>
  <w:style w:type="character" w:styleId="FootnoteReference">
    <w:name w:val="footnote reference"/>
    <w:basedOn w:val="DefaultParagraphFont"/>
    <w:uiPriority w:val="99"/>
    <w:semiHidden/>
    <w:rsid w:val="001D75C9"/>
    <w:rPr>
      <w:rFonts w:cs="Times New Roman"/>
      <w:vertAlign w:val="superscript"/>
    </w:rPr>
  </w:style>
  <w:style w:type="paragraph" w:styleId="EndnoteText">
    <w:name w:val="endnote text"/>
    <w:basedOn w:val="Normal"/>
    <w:link w:val="EndnoteTextChar"/>
    <w:uiPriority w:val="99"/>
    <w:semiHidden/>
    <w:rsid w:val="005A25BA"/>
    <w:rPr>
      <w:sz w:val="20"/>
      <w:szCs w:val="20"/>
      <w:lang w:val="en-US"/>
    </w:rPr>
  </w:style>
  <w:style w:type="character" w:customStyle="1" w:styleId="EndnoteTextChar">
    <w:name w:val="Endnote Text Char"/>
    <w:basedOn w:val="DefaultParagraphFont"/>
    <w:link w:val="EndnoteText"/>
    <w:uiPriority w:val="99"/>
    <w:semiHidden/>
    <w:locked/>
    <w:rsid w:val="00205911"/>
    <w:rPr>
      <w:rFonts w:cs="Times New Roman"/>
      <w:lang w:eastAsia="en-US"/>
    </w:rPr>
  </w:style>
  <w:style w:type="character" w:styleId="EndnoteReference">
    <w:name w:val="endnote reference"/>
    <w:basedOn w:val="DefaultParagraphFont"/>
    <w:uiPriority w:val="99"/>
    <w:semiHidden/>
    <w:rsid w:val="005A25BA"/>
    <w:rPr>
      <w:rFonts w:cs="Times New Roman"/>
      <w:vertAlign w:val="superscript"/>
    </w:rPr>
  </w:style>
  <w:style w:type="table" w:styleId="TableGrid">
    <w:name w:val="Table Grid"/>
    <w:basedOn w:val="TableNormal"/>
    <w:uiPriority w:val="99"/>
    <w:rsid w:val="000C59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F276FB"/>
    <w:pPr>
      <w:spacing w:after="200" w:line="276" w:lineRule="auto"/>
    </w:pPr>
    <w:rPr>
      <w:rFonts w:ascii="Calibri" w:hAnsi="Calibri"/>
      <w:b/>
      <w:bCs/>
      <w:sz w:val="20"/>
      <w:szCs w:val="20"/>
    </w:rPr>
  </w:style>
  <w:style w:type="paragraph" w:styleId="ListParagraph">
    <w:name w:val="List Paragraph"/>
    <w:basedOn w:val="Normal"/>
    <w:uiPriority w:val="99"/>
    <w:qFormat/>
    <w:rsid w:val="00A1338D"/>
    <w:pPr>
      <w:ind w:left="720"/>
      <w:contextualSpacing/>
    </w:pPr>
  </w:style>
  <w:style w:type="paragraph" w:styleId="BalloonText">
    <w:name w:val="Balloon Text"/>
    <w:basedOn w:val="Normal"/>
    <w:link w:val="BalloonTextChar"/>
    <w:uiPriority w:val="99"/>
    <w:rsid w:val="00AB6A74"/>
    <w:rPr>
      <w:rFonts w:ascii="Segoe UI" w:hAnsi="Segoe UI"/>
      <w:sz w:val="18"/>
      <w:szCs w:val="20"/>
      <w:lang w:val="en-US"/>
    </w:rPr>
  </w:style>
  <w:style w:type="character" w:customStyle="1" w:styleId="BalloonTextChar">
    <w:name w:val="Balloon Text Char"/>
    <w:basedOn w:val="DefaultParagraphFont"/>
    <w:link w:val="BalloonText"/>
    <w:uiPriority w:val="99"/>
    <w:locked/>
    <w:rsid w:val="00AB6A74"/>
    <w:rPr>
      <w:rFonts w:ascii="Segoe UI" w:hAnsi="Segoe UI" w:cs="Times New Roman"/>
      <w:sz w:val="18"/>
      <w:lang w:eastAsia="en-US"/>
    </w:rPr>
  </w:style>
  <w:style w:type="character" w:styleId="Hyperlink">
    <w:name w:val="Hyperlink"/>
    <w:basedOn w:val="DefaultParagraphFont"/>
    <w:uiPriority w:val="99"/>
    <w:rsid w:val="00246FEC"/>
    <w:rPr>
      <w:rFonts w:cs="Times New Roman"/>
      <w:color w:val="0000FF"/>
      <w:u w:val="single"/>
    </w:rPr>
  </w:style>
  <w:style w:type="paragraph" w:customStyle="1" w:styleId="TAMainText">
    <w:name w:val="TA_Main_Text"/>
    <w:basedOn w:val="Normal"/>
    <w:autoRedefine/>
    <w:uiPriority w:val="99"/>
    <w:rsid w:val="00592998"/>
    <w:pPr>
      <w:contextualSpacing/>
      <w:jc w:val="both"/>
    </w:pPr>
    <w:rPr>
      <w:kern w:val="21"/>
      <w:sz w:val="20"/>
      <w:szCs w:val="20"/>
      <w:lang w:val="en-US"/>
    </w:rPr>
  </w:style>
  <w:style w:type="paragraph" w:customStyle="1" w:styleId="FAAuthorInfoSubtitle">
    <w:name w:val="FA_Author_Info_Subtitle"/>
    <w:basedOn w:val="Normal"/>
    <w:link w:val="FAAuthorInfoSubtitleChar"/>
    <w:autoRedefine/>
    <w:uiPriority w:val="99"/>
    <w:rsid w:val="00592998"/>
    <w:pPr>
      <w:spacing w:before="120" w:after="60"/>
    </w:pPr>
    <w:rPr>
      <w:rFonts w:ascii="Myriad Pro Light" w:hAnsi="Myriad Pro Light"/>
      <w:b/>
      <w:kern w:val="21"/>
      <w:sz w:val="14"/>
      <w:szCs w:val="20"/>
      <w:lang w:val="en-US"/>
    </w:rPr>
  </w:style>
  <w:style w:type="character" w:customStyle="1" w:styleId="FAAuthorInfoSubtitleChar">
    <w:name w:val="FA_Author_Info_Subtitle Char"/>
    <w:link w:val="FAAuthorInfoSubtitle"/>
    <w:uiPriority w:val="99"/>
    <w:locked/>
    <w:rsid w:val="00592998"/>
    <w:rPr>
      <w:rFonts w:ascii="Myriad Pro Light" w:hAnsi="Myriad Pro Light"/>
      <w:b/>
      <w:kern w:val="21"/>
      <w:sz w:val="14"/>
      <w:lang w:val="en-US" w:eastAsia="en-US"/>
    </w:rPr>
  </w:style>
  <w:style w:type="paragraph" w:styleId="NoSpacing">
    <w:name w:val="No Spacing"/>
    <w:uiPriority w:val="99"/>
    <w:qFormat/>
    <w:rsid w:val="00592998"/>
    <w:rPr>
      <w:rFonts w:ascii="Calibri" w:hAnsi="Calibri"/>
      <w:lang w:eastAsia="en-US"/>
    </w:rPr>
  </w:style>
  <w:style w:type="character" w:customStyle="1" w:styleId="apple-converted-space">
    <w:name w:val="apple-converted-space"/>
    <w:uiPriority w:val="99"/>
    <w:rsid w:val="00592998"/>
  </w:style>
  <w:style w:type="character" w:customStyle="1" w:styleId="au">
    <w:name w:val="au"/>
    <w:uiPriority w:val="99"/>
    <w:rsid w:val="00592998"/>
  </w:style>
  <w:style w:type="character" w:styleId="CommentReference">
    <w:name w:val="annotation reference"/>
    <w:basedOn w:val="DefaultParagraphFont"/>
    <w:uiPriority w:val="99"/>
    <w:semiHidden/>
    <w:rsid w:val="00E84B94"/>
    <w:rPr>
      <w:rFonts w:cs="Times New Roman"/>
      <w:sz w:val="16"/>
    </w:rPr>
  </w:style>
  <w:style w:type="paragraph" w:styleId="CommentText">
    <w:name w:val="annotation text"/>
    <w:basedOn w:val="Normal"/>
    <w:link w:val="CommentTextChar"/>
    <w:uiPriority w:val="99"/>
    <w:semiHidden/>
    <w:rsid w:val="00E84B94"/>
    <w:rPr>
      <w:sz w:val="20"/>
      <w:szCs w:val="20"/>
    </w:rPr>
  </w:style>
  <w:style w:type="character" w:customStyle="1" w:styleId="CommentTextChar">
    <w:name w:val="Comment Text Char"/>
    <w:basedOn w:val="DefaultParagraphFont"/>
    <w:link w:val="CommentText"/>
    <w:uiPriority w:val="99"/>
    <w:semiHidden/>
    <w:locked/>
    <w:rsid w:val="00E84B94"/>
    <w:rPr>
      <w:rFonts w:cs="Times New Roman"/>
      <w:sz w:val="20"/>
      <w:lang w:val="pl-PL" w:eastAsia="en-US"/>
    </w:rPr>
  </w:style>
  <w:style w:type="paragraph" w:styleId="CommentSubject">
    <w:name w:val="annotation subject"/>
    <w:basedOn w:val="CommentText"/>
    <w:next w:val="CommentText"/>
    <w:link w:val="CommentSubjectChar"/>
    <w:uiPriority w:val="99"/>
    <w:semiHidden/>
    <w:rsid w:val="00E84B94"/>
    <w:rPr>
      <w:b/>
      <w:bCs/>
    </w:rPr>
  </w:style>
  <w:style w:type="character" w:customStyle="1" w:styleId="CommentSubjectChar">
    <w:name w:val="Comment Subject Char"/>
    <w:basedOn w:val="CommentTextChar"/>
    <w:link w:val="CommentSubject"/>
    <w:uiPriority w:val="99"/>
    <w:semiHidden/>
    <w:locked/>
    <w:rsid w:val="00E84B94"/>
    <w:rPr>
      <w:b/>
    </w:rPr>
  </w:style>
  <w:style w:type="paragraph" w:styleId="Revision">
    <w:name w:val="Revision"/>
    <w:hidden/>
    <w:uiPriority w:val="99"/>
    <w:semiHidden/>
    <w:rsid w:val="00E84B94"/>
    <w:rPr>
      <w:sz w:val="24"/>
      <w:szCs w:val="24"/>
      <w:lang w:val="pl-PL" w:eastAsia="en-US"/>
    </w:rPr>
  </w:style>
</w:styles>
</file>

<file path=word/webSettings.xml><?xml version="1.0" encoding="utf-8"?>
<w:webSettings xmlns:r="http://schemas.openxmlformats.org/officeDocument/2006/relationships" xmlns:w="http://schemas.openxmlformats.org/wordprocessingml/2006/main">
  <w:divs>
    <w:div w:id="300621535">
      <w:marLeft w:val="0"/>
      <w:marRight w:val="0"/>
      <w:marTop w:val="0"/>
      <w:marBottom w:val="0"/>
      <w:divBdr>
        <w:top w:val="none" w:sz="0" w:space="0" w:color="auto"/>
        <w:left w:val="none" w:sz="0" w:space="0" w:color="auto"/>
        <w:bottom w:val="none" w:sz="0" w:space="0" w:color="auto"/>
        <w:right w:val="none" w:sz="0" w:space="0" w:color="auto"/>
      </w:divBdr>
    </w:div>
    <w:div w:id="300621536">
      <w:marLeft w:val="0"/>
      <w:marRight w:val="0"/>
      <w:marTop w:val="0"/>
      <w:marBottom w:val="0"/>
      <w:divBdr>
        <w:top w:val="none" w:sz="0" w:space="0" w:color="auto"/>
        <w:left w:val="none" w:sz="0" w:space="0" w:color="auto"/>
        <w:bottom w:val="none" w:sz="0" w:space="0" w:color="auto"/>
        <w:right w:val="none" w:sz="0" w:space="0" w:color="auto"/>
      </w:divBdr>
    </w:div>
    <w:div w:id="300621537">
      <w:marLeft w:val="0"/>
      <w:marRight w:val="0"/>
      <w:marTop w:val="0"/>
      <w:marBottom w:val="0"/>
      <w:divBdr>
        <w:top w:val="none" w:sz="0" w:space="0" w:color="auto"/>
        <w:left w:val="none" w:sz="0" w:space="0" w:color="auto"/>
        <w:bottom w:val="none" w:sz="0" w:space="0" w:color="auto"/>
        <w:right w:val="none" w:sz="0" w:space="0" w:color="auto"/>
      </w:divBdr>
    </w:div>
    <w:div w:id="300621538">
      <w:marLeft w:val="0"/>
      <w:marRight w:val="0"/>
      <w:marTop w:val="0"/>
      <w:marBottom w:val="0"/>
      <w:divBdr>
        <w:top w:val="none" w:sz="0" w:space="0" w:color="auto"/>
        <w:left w:val="none" w:sz="0" w:space="0" w:color="auto"/>
        <w:bottom w:val="none" w:sz="0" w:space="0" w:color="auto"/>
        <w:right w:val="none" w:sz="0" w:space="0" w:color="auto"/>
      </w:divBdr>
    </w:div>
    <w:div w:id="300621540">
      <w:marLeft w:val="0"/>
      <w:marRight w:val="0"/>
      <w:marTop w:val="0"/>
      <w:marBottom w:val="0"/>
      <w:divBdr>
        <w:top w:val="none" w:sz="0" w:space="0" w:color="auto"/>
        <w:left w:val="none" w:sz="0" w:space="0" w:color="auto"/>
        <w:bottom w:val="none" w:sz="0" w:space="0" w:color="auto"/>
        <w:right w:val="none" w:sz="0" w:space="0" w:color="auto"/>
      </w:divBdr>
      <w:divsChild>
        <w:div w:id="300621539">
          <w:marLeft w:val="0"/>
          <w:marRight w:val="0"/>
          <w:marTop w:val="0"/>
          <w:marBottom w:val="0"/>
          <w:divBdr>
            <w:top w:val="none" w:sz="0" w:space="0" w:color="auto"/>
            <w:left w:val="none" w:sz="0" w:space="0" w:color="auto"/>
            <w:bottom w:val="none" w:sz="0" w:space="0" w:color="auto"/>
            <w:right w:val="none" w:sz="0" w:space="0" w:color="auto"/>
          </w:divBdr>
        </w:div>
        <w:div w:id="300621594">
          <w:marLeft w:val="0"/>
          <w:marRight w:val="0"/>
          <w:marTop w:val="0"/>
          <w:marBottom w:val="0"/>
          <w:divBdr>
            <w:top w:val="none" w:sz="0" w:space="0" w:color="auto"/>
            <w:left w:val="none" w:sz="0" w:space="0" w:color="auto"/>
            <w:bottom w:val="none" w:sz="0" w:space="0" w:color="auto"/>
            <w:right w:val="none" w:sz="0" w:space="0" w:color="auto"/>
          </w:divBdr>
        </w:div>
      </w:divsChild>
    </w:div>
    <w:div w:id="300621545">
      <w:marLeft w:val="0"/>
      <w:marRight w:val="0"/>
      <w:marTop w:val="0"/>
      <w:marBottom w:val="0"/>
      <w:divBdr>
        <w:top w:val="none" w:sz="0" w:space="0" w:color="auto"/>
        <w:left w:val="none" w:sz="0" w:space="0" w:color="auto"/>
        <w:bottom w:val="none" w:sz="0" w:space="0" w:color="auto"/>
        <w:right w:val="none" w:sz="0" w:space="0" w:color="auto"/>
      </w:divBdr>
    </w:div>
    <w:div w:id="300621555">
      <w:marLeft w:val="0"/>
      <w:marRight w:val="0"/>
      <w:marTop w:val="0"/>
      <w:marBottom w:val="0"/>
      <w:divBdr>
        <w:top w:val="none" w:sz="0" w:space="0" w:color="auto"/>
        <w:left w:val="none" w:sz="0" w:space="0" w:color="auto"/>
        <w:bottom w:val="none" w:sz="0" w:space="0" w:color="auto"/>
        <w:right w:val="none" w:sz="0" w:space="0" w:color="auto"/>
      </w:divBdr>
      <w:divsChild>
        <w:div w:id="300621546">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00621560">
          <w:marLeft w:val="0"/>
          <w:marRight w:val="0"/>
          <w:marTop w:val="0"/>
          <w:marBottom w:val="0"/>
          <w:divBdr>
            <w:top w:val="none" w:sz="0" w:space="0" w:color="auto"/>
            <w:left w:val="none" w:sz="0" w:space="0" w:color="auto"/>
            <w:bottom w:val="none" w:sz="0" w:space="0" w:color="auto"/>
            <w:right w:val="none" w:sz="0" w:space="0" w:color="auto"/>
          </w:divBdr>
        </w:div>
      </w:divsChild>
    </w:div>
    <w:div w:id="300621558">
      <w:marLeft w:val="0"/>
      <w:marRight w:val="0"/>
      <w:marTop w:val="0"/>
      <w:marBottom w:val="0"/>
      <w:divBdr>
        <w:top w:val="none" w:sz="0" w:space="0" w:color="auto"/>
        <w:left w:val="none" w:sz="0" w:space="0" w:color="auto"/>
        <w:bottom w:val="none" w:sz="0" w:space="0" w:color="auto"/>
        <w:right w:val="none" w:sz="0" w:space="0" w:color="auto"/>
      </w:divBdr>
    </w:div>
    <w:div w:id="300621561">
      <w:marLeft w:val="0"/>
      <w:marRight w:val="0"/>
      <w:marTop w:val="0"/>
      <w:marBottom w:val="0"/>
      <w:divBdr>
        <w:top w:val="none" w:sz="0" w:space="0" w:color="auto"/>
        <w:left w:val="none" w:sz="0" w:space="0" w:color="auto"/>
        <w:bottom w:val="none" w:sz="0" w:space="0" w:color="auto"/>
        <w:right w:val="none" w:sz="0" w:space="0" w:color="auto"/>
      </w:divBdr>
      <w:divsChild>
        <w:div w:id="300621543">
          <w:marLeft w:val="0"/>
          <w:marRight w:val="0"/>
          <w:marTop w:val="0"/>
          <w:marBottom w:val="0"/>
          <w:divBdr>
            <w:top w:val="none" w:sz="0" w:space="0" w:color="auto"/>
            <w:left w:val="none" w:sz="0" w:space="0" w:color="auto"/>
            <w:bottom w:val="none" w:sz="0" w:space="0" w:color="auto"/>
            <w:right w:val="none" w:sz="0" w:space="0" w:color="auto"/>
          </w:divBdr>
        </w:div>
        <w:div w:id="300621551">
          <w:marLeft w:val="0"/>
          <w:marRight w:val="0"/>
          <w:marTop w:val="0"/>
          <w:marBottom w:val="0"/>
          <w:divBdr>
            <w:top w:val="none" w:sz="0" w:space="0" w:color="auto"/>
            <w:left w:val="none" w:sz="0" w:space="0" w:color="auto"/>
            <w:bottom w:val="none" w:sz="0" w:space="0" w:color="auto"/>
            <w:right w:val="none" w:sz="0" w:space="0" w:color="auto"/>
          </w:divBdr>
        </w:div>
        <w:div w:id="300621553">
          <w:marLeft w:val="0"/>
          <w:marRight w:val="0"/>
          <w:marTop w:val="0"/>
          <w:marBottom w:val="0"/>
          <w:divBdr>
            <w:top w:val="none" w:sz="0" w:space="0" w:color="auto"/>
            <w:left w:val="none" w:sz="0" w:space="0" w:color="auto"/>
            <w:bottom w:val="none" w:sz="0" w:space="0" w:color="auto"/>
            <w:right w:val="none" w:sz="0" w:space="0" w:color="auto"/>
          </w:divBdr>
        </w:div>
        <w:div w:id="300621576">
          <w:marLeft w:val="0"/>
          <w:marRight w:val="0"/>
          <w:marTop w:val="0"/>
          <w:marBottom w:val="0"/>
          <w:divBdr>
            <w:top w:val="none" w:sz="0" w:space="0" w:color="auto"/>
            <w:left w:val="none" w:sz="0" w:space="0" w:color="auto"/>
            <w:bottom w:val="none" w:sz="0" w:space="0" w:color="auto"/>
            <w:right w:val="none" w:sz="0" w:space="0" w:color="auto"/>
          </w:divBdr>
        </w:div>
        <w:div w:id="300621579">
          <w:marLeft w:val="0"/>
          <w:marRight w:val="0"/>
          <w:marTop w:val="0"/>
          <w:marBottom w:val="0"/>
          <w:divBdr>
            <w:top w:val="none" w:sz="0" w:space="0" w:color="auto"/>
            <w:left w:val="none" w:sz="0" w:space="0" w:color="auto"/>
            <w:bottom w:val="none" w:sz="0" w:space="0" w:color="auto"/>
            <w:right w:val="none" w:sz="0" w:space="0" w:color="auto"/>
          </w:divBdr>
        </w:div>
        <w:div w:id="300621587">
          <w:marLeft w:val="0"/>
          <w:marRight w:val="0"/>
          <w:marTop w:val="0"/>
          <w:marBottom w:val="0"/>
          <w:divBdr>
            <w:top w:val="none" w:sz="0" w:space="0" w:color="auto"/>
            <w:left w:val="none" w:sz="0" w:space="0" w:color="auto"/>
            <w:bottom w:val="none" w:sz="0" w:space="0" w:color="auto"/>
            <w:right w:val="none" w:sz="0" w:space="0" w:color="auto"/>
          </w:divBdr>
        </w:div>
        <w:div w:id="300621591">
          <w:marLeft w:val="0"/>
          <w:marRight w:val="0"/>
          <w:marTop w:val="0"/>
          <w:marBottom w:val="0"/>
          <w:divBdr>
            <w:top w:val="none" w:sz="0" w:space="0" w:color="auto"/>
            <w:left w:val="none" w:sz="0" w:space="0" w:color="auto"/>
            <w:bottom w:val="none" w:sz="0" w:space="0" w:color="auto"/>
            <w:right w:val="none" w:sz="0" w:space="0" w:color="auto"/>
          </w:divBdr>
        </w:div>
      </w:divsChild>
    </w:div>
    <w:div w:id="300621566">
      <w:marLeft w:val="0"/>
      <w:marRight w:val="0"/>
      <w:marTop w:val="0"/>
      <w:marBottom w:val="0"/>
      <w:divBdr>
        <w:top w:val="none" w:sz="0" w:space="0" w:color="auto"/>
        <w:left w:val="none" w:sz="0" w:space="0" w:color="auto"/>
        <w:bottom w:val="none" w:sz="0" w:space="0" w:color="auto"/>
        <w:right w:val="none" w:sz="0" w:space="0" w:color="auto"/>
      </w:divBdr>
    </w:div>
    <w:div w:id="300621568">
      <w:marLeft w:val="0"/>
      <w:marRight w:val="0"/>
      <w:marTop w:val="0"/>
      <w:marBottom w:val="0"/>
      <w:divBdr>
        <w:top w:val="none" w:sz="0" w:space="0" w:color="auto"/>
        <w:left w:val="none" w:sz="0" w:space="0" w:color="auto"/>
        <w:bottom w:val="none" w:sz="0" w:space="0" w:color="auto"/>
        <w:right w:val="none" w:sz="0" w:space="0" w:color="auto"/>
      </w:divBdr>
    </w:div>
    <w:div w:id="300621575">
      <w:marLeft w:val="0"/>
      <w:marRight w:val="0"/>
      <w:marTop w:val="0"/>
      <w:marBottom w:val="0"/>
      <w:divBdr>
        <w:top w:val="none" w:sz="0" w:space="0" w:color="auto"/>
        <w:left w:val="none" w:sz="0" w:space="0" w:color="auto"/>
        <w:bottom w:val="none" w:sz="0" w:space="0" w:color="auto"/>
        <w:right w:val="none" w:sz="0" w:space="0" w:color="auto"/>
      </w:divBdr>
    </w:div>
    <w:div w:id="300621580">
      <w:marLeft w:val="0"/>
      <w:marRight w:val="0"/>
      <w:marTop w:val="0"/>
      <w:marBottom w:val="0"/>
      <w:divBdr>
        <w:top w:val="none" w:sz="0" w:space="0" w:color="auto"/>
        <w:left w:val="none" w:sz="0" w:space="0" w:color="auto"/>
        <w:bottom w:val="none" w:sz="0" w:space="0" w:color="auto"/>
        <w:right w:val="none" w:sz="0" w:space="0" w:color="auto"/>
      </w:divBdr>
    </w:div>
    <w:div w:id="300621583">
      <w:marLeft w:val="0"/>
      <w:marRight w:val="0"/>
      <w:marTop w:val="0"/>
      <w:marBottom w:val="0"/>
      <w:divBdr>
        <w:top w:val="none" w:sz="0" w:space="0" w:color="auto"/>
        <w:left w:val="none" w:sz="0" w:space="0" w:color="auto"/>
        <w:bottom w:val="none" w:sz="0" w:space="0" w:color="auto"/>
        <w:right w:val="none" w:sz="0" w:space="0" w:color="auto"/>
      </w:divBdr>
    </w:div>
    <w:div w:id="300621585">
      <w:marLeft w:val="0"/>
      <w:marRight w:val="0"/>
      <w:marTop w:val="0"/>
      <w:marBottom w:val="0"/>
      <w:divBdr>
        <w:top w:val="none" w:sz="0" w:space="0" w:color="auto"/>
        <w:left w:val="none" w:sz="0" w:space="0" w:color="auto"/>
        <w:bottom w:val="none" w:sz="0" w:space="0" w:color="auto"/>
        <w:right w:val="none" w:sz="0" w:space="0" w:color="auto"/>
      </w:divBdr>
    </w:div>
    <w:div w:id="300621588">
      <w:marLeft w:val="0"/>
      <w:marRight w:val="0"/>
      <w:marTop w:val="0"/>
      <w:marBottom w:val="0"/>
      <w:divBdr>
        <w:top w:val="none" w:sz="0" w:space="0" w:color="auto"/>
        <w:left w:val="none" w:sz="0" w:space="0" w:color="auto"/>
        <w:bottom w:val="none" w:sz="0" w:space="0" w:color="auto"/>
        <w:right w:val="none" w:sz="0" w:space="0" w:color="auto"/>
      </w:divBdr>
      <w:divsChild>
        <w:div w:id="300621548">
          <w:marLeft w:val="0"/>
          <w:marRight w:val="0"/>
          <w:marTop w:val="0"/>
          <w:marBottom w:val="0"/>
          <w:divBdr>
            <w:top w:val="none" w:sz="0" w:space="0" w:color="auto"/>
            <w:left w:val="none" w:sz="0" w:space="0" w:color="auto"/>
            <w:bottom w:val="none" w:sz="0" w:space="0" w:color="auto"/>
            <w:right w:val="none" w:sz="0" w:space="0" w:color="auto"/>
          </w:divBdr>
        </w:div>
        <w:div w:id="300621581">
          <w:marLeft w:val="0"/>
          <w:marRight w:val="0"/>
          <w:marTop w:val="0"/>
          <w:marBottom w:val="0"/>
          <w:divBdr>
            <w:top w:val="none" w:sz="0" w:space="0" w:color="auto"/>
            <w:left w:val="none" w:sz="0" w:space="0" w:color="auto"/>
            <w:bottom w:val="none" w:sz="0" w:space="0" w:color="auto"/>
            <w:right w:val="none" w:sz="0" w:space="0" w:color="auto"/>
          </w:divBdr>
        </w:div>
        <w:div w:id="300621592">
          <w:marLeft w:val="0"/>
          <w:marRight w:val="0"/>
          <w:marTop w:val="0"/>
          <w:marBottom w:val="0"/>
          <w:divBdr>
            <w:top w:val="none" w:sz="0" w:space="0" w:color="auto"/>
            <w:left w:val="none" w:sz="0" w:space="0" w:color="auto"/>
            <w:bottom w:val="none" w:sz="0" w:space="0" w:color="auto"/>
            <w:right w:val="none" w:sz="0" w:space="0" w:color="auto"/>
          </w:divBdr>
        </w:div>
      </w:divsChild>
    </w:div>
    <w:div w:id="300621590">
      <w:marLeft w:val="0"/>
      <w:marRight w:val="0"/>
      <w:marTop w:val="0"/>
      <w:marBottom w:val="0"/>
      <w:divBdr>
        <w:top w:val="none" w:sz="0" w:space="0" w:color="auto"/>
        <w:left w:val="none" w:sz="0" w:space="0" w:color="auto"/>
        <w:bottom w:val="none" w:sz="0" w:space="0" w:color="auto"/>
        <w:right w:val="none" w:sz="0" w:space="0" w:color="auto"/>
      </w:divBdr>
      <w:divsChild>
        <w:div w:id="300621541">
          <w:marLeft w:val="0"/>
          <w:marRight w:val="0"/>
          <w:marTop w:val="0"/>
          <w:marBottom w:val="0"/>
          <w:divBdr>
            <w:top w:val="none" w:sz="0" w:space="0" w:color="auto"/>
            <w:left w:val="none" w:sz="0" w:space="0" w:color="auto"/>
            <w:bottom w:val="none" w:sz="0" w:space="0" w:color="auto"/>
            <w:right w:val="none" w:sz="0" w:space="0" w:color="auto"/>
          </w:divBdr>
        </w:div>
        <w:div w:id="300621542">
          <w:marLeft w:val="0"/>
          <w:marRight w:val="0"/>
          <w:marTop w:val="0"/>
          <w:marBottom w:val="0"/>
          <w:divBdr>
            <w:top w:val="none" w:sz="0" w:space="0" w:color="auto"/>
            <w:left w:val="none" w:sz="0" w:space="0" w:color="auto"/>
            <w:bottom w:val="none" w:sz="0" w:space="0" w:color="auto"/>
            <w:right w:val="none" w:sz="0" w:space="0" w:color="auto"/>
          </w:divBdr>
        </w:div>
        <w:div w:id="300621544">
          <w:marLeft w:val="0"/>
          <w:marRight w:val="0"/>
          <w:marTop w:val="0"/>
          <w:marBottom w:val="0"/>
          <w:divBdr>
            <w:top w:val="none" w:sz="0" w:space="0" w:color="auto"/>
            <w:left w:val="none" w:sz="0" w:space="0" w:color="auto"/>
            <w:bottom w:val="none" w:sz="0" w:space="0" w:color="auto"/>
            <w:right w:val="none" w:sz="0" w:space="0" w:color="auto"/>
          </w:divBdr>
        </w:div>
        <w:div w:id="300621547">
          <w:marLeft w:val="0"/>
          <w:marRight w:val="0"/>
          <w:marTop w:val="0"/>
          <w:marBottom w:val="0"/>
          <w:divBdr>
            <w:top w:val="none" w:sz="0" w:space="0" w:color="auto"/>
            <w:left w:val="none" w:sz="0" w:space="0" w:color="auto"/>
            <w:bottom w:val="none" w:sz="0" w:space="0" w:color="auto"/>
            <w:right w:val="none" w:sz="0" w:space="0" w:color="auto"/>
          </w:divBdr>
        </w:div>
        <w:div w:id="300621549">
          <w:marLeft w:val="0"/>
          <w:marRight w:val="0"/>
          <w:marTop w:val="0"/>
          <w:marBottom w:val="0"/>
          <w:divBdr>
            <w:top w:val="none" w:sz="0" w:space="0" w:color="auto"/>
            <w:left w:val="none" w:sz="0" w:space="0" w:color="auto"/>
            <w:bottom w:val="none" w:sz="0" w:space="0" w:color="auto"/>
            <w:right w:val="none" w:sz="0" w:space="0" w:color="auto"/>
          </w:divBdr>
        </w:div>
        <w:div w:id="300621550">
          <w:marLeft w:val="0"/>
          <w:marRight w:val="0"/>
          <w:marTop w:val="0"/>
          <w:marBottom w:val="0"/>
          <w:divBdr>
            <w:top w:val="none" w:sz="0" w:space="0" w:color="auto"/>
            <w:left w:val="none" w:sz="0" w:space="0" w:color="auto"/>
            <w:bottom w:val="none" w:sz="0" w:space="0" w:color="auto"/>
            <w:right w:val="none" w:sz="0" w:space="0" w:color="auto"/>
          </w:divBdr>
        </w:div>
        <w:div w:id="300621552">
          <w:marLeft w:val="0"/>
          <w:marRight w:val="0"/>
          <w:marTop w:val="0"/>
          <w:marBottom w:val="0"/>
          <w:divBdr>
            <w:top w:val="none" w:sz="0" w:space="0" w:color="auto"/>
            <w:left w:val="none" w:sz="0" w:space="0" w:color="auto"/>
            <w:bottom w:val="none" w:sz="0" w:space="0" w:color="auto"/>
            <w:right w:val="none" w:sz="0" w:space="0" w:color="auto"/>
          </w:divBdr>
        </w:div>
        <w:div w:id="300621554">
          <w:marLeft w:val="0"/>
          <w:marRight w:val="0"/>
          <w:marTop w:val="0"/>
          <w:marBottom w:val="0"/>
          <w:divBdr>
            <w:top w:val="none" w:sz="0" w:space="0" w:color="auto"/>
            <w:left w:val="none" w:sz="0" w:space="0" w:color="auto"/>
            <w:bottom w:val="none" w:sz="0" w:space="0" w:color="auto"/>
            <w:right w:val="none" w:sz="0" w:space="0" w:color="auto"/>
          </w:divBdr>
        </w:div>
        <w:div w:id="300621557">
          <w:marLeft w:val="0"/>
          <w:marRight w:val="0"/>
          <w:marTop w:val="0"/>
          <w:marBottom w:val="0"/>
          <w:divBdr>
            <w:top w:val="none" w:sz="0" w:space="0" w:color="auto"/>
            <w:left w:val="none" w:sz="0" w:space="0" w:color="auto"/>
            <w:bottom w:val="none" w:sz="0" w:space="0" w:color="auto"/>
            <w:right w:val="none" w:sz="0" w:space="0" w:color="auto"/>
          </w:divBdr>
        </w:div>
        <w:div w:id="300621559">
          <w:marLeft w:val="0"/>
          <w:marRight w:val="0"/>
          <w:marTop w:val="0"/>
          <w:marBottom w:val="0"/>
          <w:divBdr>
            <w:top w:val="none" w:sz="0" w:space="0" w:color="auto"/>
            <w:left w:val="none" w:sz="0" w:space="0" w:color="auto"/>
            <w:bottom w:val="none" w:sz="0" w:space="0" w:color="auto"/>
            <w:right w:val="none" w:sz="0" w:space="0" w:color="auto"/>
          </w:divBdr>
        </w:div>
        <w:div w:id="300621562">
          <w:marLeft w:val="0"/>
          <w:marRight w:val="0"/>
          <w:marTop w:val="0"/>
          <w:marBottom w:val="0"/>
          <w:divBdr>
            <w:top w:val="none" w:sz="0" w:space="0" w:color="auto"/>
            <w:left w:val="none" w:sz="0" w:space="0" w:color="auto"/>
            <w:bottom w:val="none" w:sz="0" w:space="0" w:color="auto"/>
            <w:right w:val="none" w:sz="0" w:space="0" w:color="auto"/>
          </w:divBdr>
        </w:div>
        <w:div w:id="300621563">
          <w:marLeft w:val="0"/>
          <w:marRight w:val="0"/>
          <w:marTop w:val="0"/>
          <w:marBottom w:val="0"/>
          <w:divBdr>
            <w:top w:val="none" w:sz="0" w:space="0" w:color="auto"/>
            <w:left w:val="none" w:sz="0" w:space="0" w:color="auto"/>
            <w:bottom w:val="none" w:sz="0" w:space="0" w:color="auto"/>
            <w:right w:val="none" w:sz="0" w:space="0" w:color="auto"/>
          </w:divBdr>
        </w:div>
        <w:div w:id="300621564">
          <w:marLeft w:val="0"/>
          <w:marRight w:val="0"/>
          <w:marTop w:val="0"/>
          <w:marBottom w:val="0"/>
          <w:divBdr>
            <w:top w:val="none" w:sz="0" w:space="0" w:color="auto"/>
            <w:left w:val="none" w:sz="0" w:space="0" w:color="auto"/>
            <w:bottom w:val="none" w:sz="0" w:space="0" w:color="auto"/>
            <w:right w:val="none" w:sz="0" w:space="0" w:color="auto"/>
          </w:divBdr>
        </w:div>
        <w:div w:id="300621565">
          <w:marLeft w:val="0"/>
          <w:marRight w:val="0"/>
          <w:marTop w:val="0"/>
          <w:marBottom w:val="0"/>
          <w:divBdr>
            <w:top w:val="none" w:sz="0" w:space="0" w:color="auto"/>
            <w:left w:val="none" w:sz="0" w:space="0" w:color="auto"/>
            <w:bottom w:val="none" w:sz="0" w:space="0" w:color="auto"/>
            <w:right w:val="none" w:sz="0" w:space="0" w:color="auto"/>
          </w:divBdr>
        </w:div>
        <w:div w:id="300621567">
          <w:marLeft w:val="0"/>
          <w:marRight w:val="0"/>
          <w:marTop w:val="0"/>
          <w:marBottom w:val="0"/>
          <w:divBdr>
            <w:top w:val="none" w:sz="0" w:space="0" w:color="auto"/>
            <w:left w:val="none" w:sz="0" w:space="0" w:color="auto"/>
            <w:bottom w:val="none" w:sz="0" w:space="0" w:color="auto"/>
            <w:right w:val="none" w:sz="0" w:space="0" w:color="auto"/>
          </w:divBdr>
        </w:div>
        <w:div w:id="300621569">
          <w:marLeft w:val="0"/>
          <w:marRight w:val="0"/>
          <w:marTop w:val="0"/>
          <w:marBottom w:val="0"/>
          <w:divBdr>
            <w:top w:val="none" w:sz="0" w:space="0" w:color="auto"/>
            <w:left w:val="none" w:sz="0" w:space="0" w:color="auto"/>
            <w:bottom w:val="none" w:sz="0" w:space="0" w:color="auto"/>
            <w:right w:val="none" w:sz="0" w:space="0" w:color="auto"/>
          </w:divBdr>
        </w:div>
        <w:div w:id="300621570">
          <w:marLeft w:val="0"/>
          <w:marRight w:val="0"/>
          <w:marTop w:val="0"/>
          <w:marBottom w:val="0"/>
          <w:divBdr>
            <w:top w:val="none" w:sz="0" w:space="0" w:color="auto"/>
            <w:left w:val="none" w:sz="0" w:space="0" w:color="auto"/>
            <w:bottom w:val="none" w:sz="0" w:space="0" w:color="auto"/>
            <w:right w:val="none" w:sz="0" w:space="0" w:color="auto"/>
          </w:divBdr>
        </w:div>
        <w:div w:id="300621571">
          <w:marLeft w:val="0"/>
          <w:marRight w:val="0"/>
          <w:marTop w:val="0"/>
          <w:marBottom w:val="0"/>
          <w:divBdr>
            <w:top w:val="none" w:sz="0" w:space="0" w:color="auto"/>
            <w:left w:val="none" w:sz="0" w:space="0" w:color="auto"/>
            <w:bottom w:val="none" w:sz="0" w:space="0" w:color="auto"/>
            <w:right w:val="none" w:sz="0" w:space="0" w:color="auto"/>
          </w:divBdr>
        </w:div>
        <w:div w:id="300621572">
          <w:marLeft w:val="0"/>
          <w:marRight w:val="0"/>
          <w:marTop w:val="0"/>
          <w:marBottom w:val="0"/>
          <w:divBdr>
            <w:top w:val="none" w:sz="0" w:space="0" w:color="auto"/>
            <w:left w:val="none" w:sz="0" w:space="0" w:color="auto"/>
            <w:bottom w:val="none" w:sz="0" w:space="0" w:color="auto"/>
            <w:right w:val="none" w:sz="0" w:space="0" w:color="auto"/>
          </w:divBdr>
        </w:div>
        <w:div w:id="300621573">
          <w:marLeft w:val="0"/>
          <w:marRight w:val="0"/>
          <w:marTop w:val="0"/>
          <w:marBottom w:val="0"/>
          <w:divBdr>
            <w:top w:val="none" w:sz="0" w:space="0" w:color="auto"/>
            <w:left w:val="none" w:sz="0" w:space="0" w:color="auto"/>
            <w:bottom w:val="none" w:sz="0" w:space="0" w:color="auto"/>
            <w:right w:val="none" w:sz="0" w:space="0" w:color="auto"/>
          </w:divBdr>
        </w:div>
        <w:div w:id="300621574">
          <w:marLeft w:val="0"/>
          <w:marRight w:val="0"/>
          <w:marTop w:val="0"/>
          <w:marBottom w:val="0"/>
          <w:divBdr>
            <w:top w:val="none" w:sz="0" w:space="0" w:color="auto"/>
            <w:left w:val="none" w:sz="0" w:space="0" w:color="auto"/>
            <w:bottom w:val="none" w:sz="0" w:space="0" w:color="auto"/>
            <w:right w:val="none" w:sz="0" w:space="0" w:color="auto"/>
          </w:divBdr>
        </w:div>
        <w:div w:id="300621577">
          <w:marLeft w:val="0"/>
          <w:marRight w:val="0"/>
          <w:marTop w:val="0"/>
          <w:marBottom w:val="0"/>
          <w:divBdr>
            <w:top w:val="none" w:sz="0" w:space="0" w:color="auto"/>
            <w:left w:val="none" w:sz="0" w:space="0" w:color="auto"/>
            <w:bottom w:val="none" w:sz="0" w:space="0" w:color="auto"/>
            <w:right w:val="none" w:sz="0" w:space="0" w:color="auto"/>
          </w:divBdr>
        </w:div>
        <w:div w:id="300621578">
          <w:marLeft w:val="0"/>
          <w:marRight w:val="0"/>
          <w:marTop w:val="0"/>
          <w:marBottom w:val="0"/>
          <w:divBdr>
            <w:top w:val="none" w:sz="0" w:space="0" w:color="auto"/>
            <w:left w:val="none" w:sz="0" w:space="0" w:color="auto"/>
            <w:bottom w:val="none" w:sz="0" w:space="0" w:color="auto"/>
            <w:right w:val="none" w:sz="0" w:space="0" w:color="auto"/>
          </w:divBdr>
        </w:div>
        <w:div w:id="300621582">
          <w:marLeft w:val="0"/>
          <w:marRight w:val="0"/>
          <w:marTop w:val="0"/>
          <w:marBottom w:val="0"/>
          <w:divBdr>
            <w:top w:val="none" w:sz="0" w:space="0" w:color="auto"/>
            <w:left w:val="none" w:sz="0" w:space="0" w:color="auto"/>
            <w:bottom w:val="none" w:sz="0" w:space="0" w:color="auto"/>
            <w:right w:val="none" w:sz="0" w:space="0" w:color="auto"/>
          </w:divBdr>
        </w:div>
        <w:div w:id="300621584">
          <w:marLeft w:val="0"/>
          <w:marRight w:val="0"/>
          <w:marTop w:val="0"/>
          <w:marBottom w:val="0"/>
          <w:divBdr>
            <w:top w:val="none" w:sz="0" w:space="0" w:color="auto"/>
            <w:left w:val="none" w:sz="0" w:space="0" w:color="auto"/>
            <w:bottom w:val="none" w:sz="0" w:space="0" w:color="auto"/>
            <w:right w:val="none" w:sz="0" w:space="0" w:color="auto"/>
          </w:divBdr>
        </w:div>
        <w:div w:id="300621586">
          <w:marLeft w:val="0"/>
          <w:marRight w:val="0"/>
          <w:marTop w:val="0"/>
          <w:marBottom w:val="0"/>
          <w:divBdr>
            <w:top w:val="none" w:sz="0" w:space="0" w:color="auto"/>
            <w:left w:val="none" w:sz="0" w:space="0" w:color="auto"/>
            <w:bottom w:val="none" w:sz="0" w:space="0" w:color="auto"/>
            <w:right w:val="none" w:sz="0" w:space="0" w:color="auto"/>
          </w:divBdr>
        </w:div>
        <w:div w:id="300621589">
          <w:marLeft w:val="0"/>
          <w:marRight w:val="0"/>
          <w:marTop w:val="0"/>
          <w:marBottom w:val="0"/>
          <w:divBdr>
            <w:top w:val="none" w:sz="0" w:space="0" w:color="auto"/>
            <w:left w:val="none" w:sz="0" w:space="0" w:color="auto"/>
            <w:bottom w:val="none" w:sz="0" w:space="0" w:color="auto"/>
            <w:right w:val="none" w:sz="0" w:space="0" w:color="auto"/>
          </w:divBdr>
        </w:div>
      </w:divsChild>
    </w:div>
    <w:div w:id="3006215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hyperlink" Target="http://www.ccdc.cam.ac.uk/structures"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emf"/><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19</Pages>
  <Words>3684</Words>
  <Characters>21000</Characters>
  <Application>Microsoft Office Outlook</Application>
  <DocSecurity>0</DocSecurity>
  <Lines>0</Lines>
  <Paragraphs>0</Paragraphs>
  <ScaleCrop>false</ScaleCrop>
  <Company>IBB</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Three-Step, One-Pot Synthesis of Tricyclic 1,2,3,4-tetrahydrobenzo[e]pyrazino[1,2-a][1,4]diazepine-6,12(11H,12aH)-dione</dc:title>
  <dc:subject/>
  <dc:creator>Guest</dc:creator>
  <cp:keywords/>
  <dc:description/>
  <cp:lastModifiedBy>Kinga</cp:lastModifiedBy>
  <cp:revision>5</cp:revision>
  <cp:lastPrinted>2017-06-27T12:35:00Z</cp:lastPrinted>
  <dcterms:created xsi:type="dcterms:W3CDTF">2018-01-12T21:43:00Z</dcterms:created>
  <dcterms:modified xsi:type="dcterms:W3CDTF">2018-01-16T19:05:00Z</dcterms:modified>
</cp:coreProperties>
</file>